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520" w:right="280" w:hanging="512"/>
        <w:spacing w:after="0" w:line="245"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40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71"/>
        </w:trPr>
        <w:tc>
          <w:tcPr>
            <w:tcW w:w="316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Commission file number: 001-36740</w:t>
            </w: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KYNTRA BIO, INC.</w:t>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90"/>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00" w:type="dxa"/>
            <w:vAlign w:val="bottom"/>
          </w:tcPr>
          <w:p>
            <w:pPr>
              <w:jc w:val="center"/>
              <w:ind w:left="13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44"/>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350 Bay Street, Suite 100 #6009</w:t>
            </w:r>
          </w:p>
        </w:tc>
        <w:tc>
          <w:tcPr>
            <w:tcW w:w="3600" w:type="dxa"/>
            <w:vAlign w:val="bottom"/>
          </w:tcPr>
          <w:p>
            <w:pPr>
              <w:spacing w:after="0"/>
              <w:rPr>
                <w:sz w:val="21"/>
                <w:szCs w:val="21"/>
                <w:color w:val="auto"/>
              </w:rPr>
            </w:pPr>
          </w:p>
        </w:tc>
      </w:tr>
      <w:tr>
        <w:trPr>
          <w:trHeight w:val="214"/>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360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94133</w:t>
            </w:r>
          </w:p>
        </w:tc>
      </w:tr>
      <w:tr>
        <w:trPr>
          <w:trHeight w:val="190"/>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0" w:type="dxa"/>
            <w:vAlign w:val="bottom"/>
          </w:tcPr>
          <w:p>
            <w:pPr>
              <w:jc w:val="center"/>
              <w:ind w:left="13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(415) 978-1200</w:t>
      </w:r>
    </w:p>
    <w:p>
      <w:pPr>
        <w:spacing w:after="0" w:line="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2" w:lineRule="exact"/>
        <w:rPr>
          <w:sz w:val="24"/>
          <w:szCs w:val="24"/>
          <w:color w:val="auto"/>
        </w:rPr>
      </w:pPr>
    </w:p>
    <w:tbl>
      <w:tblPr>
        <w:tblLayout w:type="fixed"/>
        <w:tblInd w:w="520" w:type="dxa"/>
        <w:tblCellMar>
          <w:top w:w="0" w:type="dxa"/>
          <w:left w:w="0" w:type="dxa"/>
          <w:bottom w:w="0" w:type="dxa"/>
          <w:right w:w="0" w:type="dxa"/>
        </w:tblCellMar>
      </w:tblPr>
      <w:tr>
        <w:trPr>
          <w:trHeight w:val="250"/>
        </w:trPr>
        <w:tc>
          <w:tcPr>
            <w:tcW w:w="80" w:type="dxa"/>
            <w:vAlign w:val="bottom"/>
            <w:tcBorders>
              <w:right w:val="single" w:sz="8" w:color="auto"/>
            </w:tcBorders>
          </w:tcPr>
          <w:p>
            <w:pPr>
              <w:spacing w:after="0"/>
              <w:rPr>
                <w:sz w:val="21"/>
                <w:szCs w:val="21"/>
                <w:color w:val="auto"/>
              </w:rPr>
            </w:pPr>
          </w:p>
        </w:tc>
        <w:tc>
          <w:tcPr>
            <w:tcW w:w="26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20" w:type="dxa"/>
            <w:vAlign w:val="bottom"/>
            <w:tcBorders>
              <w:top w:val="single" w:sz="8" w:color="auto"/>
              <w:bottom w:val="single" w:sz="8" w:color="auto"/>
              <w:right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gridSpan w:val="2"/>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3"/>
        </w:trPr>
        <w:tc>
          <w:tcPr>
            <w:tcW w:w="80" w:type="dxa"/>
            <w:vAlign w:val="bottom"/>
            <w:tcBorders>
              <w:right w:val="single" w:sz="8" w:color="auto"/>
            </w:tcBorders>
          </w:tcPr>
          <w:p>
            <w:pPr>
              <w:spacing w:after="0"/>
              <w:rPr>
                <w:sz w:val="16"/>
                <w:szCs w:val="16"/>
                <w:color w:val="auto"/>
              </w:rPr>
            </w:pPr>
          </w:p>
        </w:tc>
        <w:tc>
          <w:tcPr>
            <w:tcW w:w="2640" w:type="dxa"/>
            <w:vAlign w:val="bottom"/>
            <w:tcBorders>
              <w:bottom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Common Stock, $0.01 par value</w:t>
            </w:r>
          </w:p>
        </w:tc>
        <w:tc>
          <w:tcPr>
            <w:tcW w:w="72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80" w:type="dxa"/>
            <w:vAlign w:val="bottom"/>
            <w:tcBorders>
              <w:bottom w:val="single" w:sz="8" w:color="auto"/>
              <w:right w:val="single" w:sz="8" w:color="auto"/>
            </w:tcBorders>
            <w:gridSpan w:val="2"/>
          </w:tcPr>
          <w:p>
            <w:pPr>
              <w:jc w:val="center"/>
              <w:ind w:right="580"/>
              <w:spacing w:after="0" w:line="193" w:lineRule="exact"/>
              <w:rPr>
                <w:sz w:val="20"/>
                <w:szCs w:val="20"/>
                <w:color w:val="auto"/>
              </w:rPr>
            </w:pPr>
            <w:r>
              <w:rPr>
                <w:rFonts w:ascii="Times New Roman" w:cs="Times New Roman" w:eastAsia="Times New Roman" w:hAnsi="Times New Roman"/>
                <w:sz w:val="18"/>
                <w:szCs w:val="18"/>
                <w:color w:val="auto"/>
                <w:w w:val="97"/>
              </w:rPr>
              <w:t>KYNB</w:t>
            </w: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180" w:type="dxa"/>
            <w:vAlign w:val="bottom"/>
            <w:tcBorders>
              <w:bottom w:val="single" w:sz="8" w:color="auto"/>
              <w:right w:val="single" w:sz="8" w:color="auto"/>
            </w:tcBorders>
          </w:tcPr>
          <w:p>
            <w:pPr>
              <w:jc w:val="center"/>
              <w:ind w:right="562"/>
              <w:spacing w:after="0" w:line="193" w:lineRule="exact"/>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74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Securities </w:t>
            </w:r>
            <w:r>
              <w:rPr>
                <w:rFonts w:ascii="Times New Roman" w:cs="Times New Roman" w:eastAsia="Times New Roman" w:hAnsi="Times New Roman"/>
                <w:sz w:val="17"/>
                <w:szCs w:val="17"/>
                <w:b w:val="1"/>
                <w:bCs w:val="1"/>
                <w:color w:val="auto"/>
              </w:rPr>
              <w:t>registered pursuant to Section 12(g) of the Act:</w:t>
            </w: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980" w:type="dxa"/>
            <w:vAlign w:val="bottom"/>
            <w:gridSpan w:val="4"/>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680" w:type="dxa"/>
            <w:vAlign w:val="bottom"/>
            <w:gridSpan w:val="2"/>
          </w:tcPr>
          <w:p>
            <w:pPr>
              <w:spacing w:after="0"/>
              <w:rPr>
                <w:sz w:val="7"/>
                <w:szCs w:val="7"/>
                <w:color w:val="auto"/>
              </w:rPr>
            </w:pP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18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69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20"/>
                <w:szCs w:val="20"/>
                <w:color w:val="auto"/>
              </w:rPr>
            </w:pPr>
          </w:p>
        </w:tc>
        <w:tc>
          <w:tcPr>
            <w:tcW w:w="3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9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18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60"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6580" w:val="left"/>
          <w:tab w:leader="none" w:pos="71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80" w:firstLine="50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computed by reference to the closing price as of the last business day of the registrant’s most recently completed second fiscal quarter, June 30, 2025, was approximately $21.0 million. Shares of common stock held by each executive officer and director have been excluded since such persons may be deemed affiliates. This determination of affiliate status is not necessarily a conclusive determination for other purposes.</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shares of common stock outstanding as of February 28, 2026 was 4,046,827.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Items 10, 11, 12, 13 and 14 of Part III of this Annual Report on Form 10-K for the year ended December 31, 2025 (the “Annual Report”) incorporate information by reference from the definitive proxy statement for the registrant’s 2026 Annual Meeting of Stockholders to be filed with the Securities and Exchange Commission pursuant to Regulation 14A not later than after 120 days after the end of the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7080" w:type="dxa"/>
            <w:vAlign w:val="bottom"/>
            <w:gridSpan w:val="12"/>
            <w:vMerge w:val="restart"/>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Borders>
              <w:bottom w:val="single" w:sz="8" w:color="0000EE"/>
            </w:tcBorders>
            <w:gridSpan w:val="13"/>
            <w:vMerge w:val="continue"/>
          </w:tcPr>
          <w:p>
            <w:pPr>
              <w:spacing w:after="0"/>
              <w:rPr>
                <w:sz w:val="14"/>
                <w:szCs w:val="14"/>
                <w:color w:val="auto"/>
              </w:rPr>
            </w:pPr>
          </w:p>
        </w:tc>
        <w:tc>
          <w:tcPr>
            <w:tcW w:w="7080" w:type="dxa"/>
            <w:vAlign w:val="bottom"/>
            <w:gridSpan w:val="12"/>
            <w:vMerge w:val="continue"/>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Risk Factor Summary</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72"/>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97"/>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560" w:type="dxa"/>
            <w:vAlign w:val="bottom"/>
            <w:gridSpan w:val="24"/>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160" w:type="dxa"/>
            <w:vAlign w:val="bottom"/>
            <w:gridSpan w:val="13"/>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200" w:type="dxa"/>
            <w:vAlign w:val="bottom"/>
            <w:gridSpan w:val="20"/>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860" w:type="dxa"/>
            <w:vAlign w:val="bottom"/>
            <w:gridSpan w:val="18"/>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31"/>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18"/>
        </w:trPr>
        <w:tc>
          <w:tcPr>
            <w:tcW w:w="6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5.</w:t>
            </w:r>
          </w:p>
        </w:tc>
        <w:tc>
          <w:tcPr>
            <w:tcW w:w="600" w:type="dxa"/>
            <w:vAlign w:val="bottom"/>
            <w:gridSpan w:val="3"/>
          </w:tcPr>
          <w:p>
            <w:pPr>
              <w:spacing w:after="0"/>
              <w:rPr>
                <w:sz w:val="24"/>
                <w:szCs w:val="24"/>
                <w:color w:val="auto"/>
              </w:rPr>
            </w:pPr>
          </w:p>
        </w:tc>
        <w:tc>
          <w:tcPr>
            <w:tcW w:w="81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 About Market Risks</w:t>
            </w:r>
          </w:p>
        </w:tc>
        <w:tc>
          <w:tcPr>
            <w:tcW w:w="2100" w:type="dxa"/>
            <w:vAlign w:val="bottom"/>
            <w:tcBorders>
              <w:top w:val="single" w:sz="8" w:color="0000EE"/>
            </w:tcBorders>
            <w:gridSpan w:val="3"/>
          </w:tcPr>
          <w:p>
            <w:pPr>
              <w:spacing w:after="0"/>
              <w:rPr>
                <w:sz w:val="17"/>
                <w:szCs w:val="17"/>
                <w:color w:val="auto"/>
              </w:rPr>
            </w:pPr>
          </w:p>
        </w:tc>
        <w:tc>
          <w:tcPr>
            <w:tcW w:w="2740" w:type="dxa"/>
            <w:vAlign w:val="bottom"/>
            <w:gridSpan w:val="4"/>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Financial Statements and Supplementary Data</w:t>
            </w:r>
          </w:p>
        </w:tc>
        <w:tc>
          <w:tcPr>
            <w:tcW w:w="4880" w:type="dxa"/>
            <w:vAlign w:val="bottom"/>
            <w:gridSpan w:val="8"/>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20" w:type="dxa"/>
            <w:vAlign w:val="bottom"/>
            <w:gridSpan w:val="3"/>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EE"/>
            </w:tcBorders>
            <w:gridSpan w:val="4"/>
          </w:tcPr>
          <w:p>
            <w:pPr>
              <w:spacing w:after="0"/>
              <w:rPr>
                <w:sz w:val="17"/>
                <w:szCs w:val="17"/>
                <w:color w:val="auto"/>
              </w:rPr>
            </w:pPr>
          </w:p>
        </w:tc>
        <w:tc>
          <w:tcPr>
            <w:tcW w:w="7440" w:type="dxa"/>
            <w:vAlign w:val="bottom"/>
            <w:gridSpan w:val="15"/>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18"/>
        </w:trPr>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331"/>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00" w:type="dxa"/>
            <w:vAlign w:val="bottom"/>
            <w:gridSpan w:val="9"/>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EE"/>
            </w:tcBorders>
            <w:gridSpan w:val="3"/>
          </w:tcPr>
          <w:p>
            <w:pPr>
              <w:spacing w:after="0"/>
              <w:rPr>
                <w:sz w:val="17"/>
                <w:szCs w:val="17"/>
                <w:color w:val="auto"/>
              </w:rPr>
            </w:pPr>
          </w:p>
        </w:tc>
        <w:tc>
          <w:tcPr>
            <w:tcW w:w="1920" w:type="dxa"/>
            <w:vAlign w:val="bottom"/>
            <w:gridSpan w:val="2"/>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331"/>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331"/>
        </w:trPr>
        <w:tc>
          <w:tcPr>
            <w:tcW w:w="7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540" w:type="dxa"/>
            <w:vAlign w:val="bottom"/>
            <w:gridSpan w:val="2"/>
          </w:tcPr>
          <w:p>
            <w:pPr>
              <w:spacing w:after="0"/>
              <w:rPr>
                <w:sz w:val="24"/>
                <w:szCs w:val="24"/>
                <w:color w:val="auto"/>
              </w:rPr>
            </w:pPr>
          </w:p>
        </w:tc>
        <w:tc>
          <w:tcPr>
            <w:tcW w:w="31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040" w:type="dxa"/>
            <w:vAlign w:val="bottom"/>
            <w:gridSpan w:val="10"/>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760" w:type="dxa"/>
            <w:vAlign w:val="bottom"/>
            <w:tcBorders>
              <w:top w:val="single" w:sz="8" w:color="0000EE"/>
            </w:tcBorders>
            <w:gridSpan w:val="5"/>
          </w:tcPr>
          <w:p>
            <w:pPr>
              <w:spacing w:after="0"/>
              <w:rPr>
                <w:sz w:val="17"/>
                <w:szCs w:val="17"/>
                <w:color w:val="auto"/>
              </w:rPr>
            </w:pPr>
          </w:p>
        </w:tc>
        <w:tc>
          <w:tcPr>
            <w:tcW w:w="7660" w:type="dxa"/>
            <w:vAlign w:val="bottom"/>
            <w:gridSpan w:val="17"/>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560"/>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00" w:type="dxa"/>
            <w:vAlign w:val="bottom"/>
            <w:gridSpan w:val="19"/>
          </w:tcPr>
          <w:p>
            <w:pPr>
              <w:ind w:left="43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for the year ended December 31, 2025 (“Annual Report”)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our product candidates, our intellectual property position, the potential safety, efficacy, reimbursement, convenience clinical and pharmaco-economic benefits of our product candidates, the potential markets for any of our product candidates, our ability to develop commercial functions, the closing of the sale of our roxadustat business in China, the potential for cash, cash equivalents and accounts receivable to fund Kyntra Bio’s operating plans, expectations regarding clinical trial data, our results of operations, cash needs, spending of the proceeds from our initial public offering,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a number of risks, uncertainties and assumptions described in the section of this Annual Report captioned “Risk Factors” and elsewhere in this Annual Report. A summary of these risk factors can be found in the following section, however, please refer to the full risk factors in Item 1A “Risk Factors.” 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3"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success of Kyntra Bio will depend on a number of factors, many of which are beyond our control and involve risks, including but not limited to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20" w:right="50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products roxadustat and FG-3246 (in conjunction with our PET (as defined below) imaging agent FG-3180).</w:t>
      </w:r>
    </w:p>
    <w:p>
      <w:pPr>
        <w:spacing w:after="0" w:line="53"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marketing authorization are very difficult endeavors, and we may ultimately be unable to obtain regulatory approval for our various product candidates in one or more jurisdictions and one or more indications.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Phase 1, and Phase 2 clinical trial results may not be indicative of the results that may be obtained in larger clinical trials.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or we cannot properly manufacture the appropriate volume of product, we may experience delays in development, regulatory approval, launch, or successful commercialization.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the development and commercialization of product candidates.</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healthcare payors, and others in the medical community necessary for commercial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ind w:left="520" w:right="36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were terminated or if our partners were unwilling or unable to contribute or participate in the collaborations, our ability to successfully develop and commercialize the relevant product candidate could suffer.</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preclinical and clinical trial contractors do not properly perform their agreed-upon obligations, we may not be able to obtain or may be delayed in receiving regulatory approvals for our product candidates.</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shortfalls, delays, or excesses in manufacturing.</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520" w:right="28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protect our proprietary and exclusively licensed technologies are not adequate, we may not be able to compete effectively in our market.</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highly uncertain and we may not obtain regulatory approval for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3" w:lineRule="exact"/>
        <w:rPr>
          <w:rFonts w:ascii="Times New Roman" w:cs="Times New Roman" w:eastAsia="Times New Roman" w:hAnsi="Times New Roman"/>
          <w:sz w:val="18"/>
          <w:szCs w:val="18"/>
          <w:color w:val="auto"/>
        </w:rPr>
      </w:pPr>
    </w:p>
    <w:p>
      <w:pPr>
        <w:ind w:left="520" w:right="18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121" w:lineRule="exact"/>
        <w:rPr>
          <w:sz w:val="20"/>
          <w:szCs w:val="20"/>
          <w:color w:val="auto"/>
        </w:rPr>
      </w:pPr>
    </w:p>
    <w:p>
      <w:pPr>
        <w:ind w:left="520" w:right="34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next year, we may face costs from the wind-up of the Cayman Subsidiary (as defined below), and may not receive some of the AZ Holdbacks (as defined below) related to the sale of FibroGen International and its subsidiaries.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China relations, as well as relations with other countries, and/or regulations may adversely impact our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party suppliers in China, and there are risks inherent to utilizing third party manufacturing facilities.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of manufacturing disruption due to geopolitical tensions in China and related to U.S. legislation impacting WuXi AppTec, Wuxi Biologics, and Wuxi XDC.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7" w:right="5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Kyntra Bio, Inc. (“Kyntra Bio” or the “Company”) is a biopharmaceutical company focused on development of novel therapies at the frontiers of cancer biology and anemia.</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January 2026, the Company announced its rebranding from “FibroGen, Inc.” to “Kyntra Bio, Inc.”, representing the next step of its transformation and focus on oncology and associated rare disease indications. On January 8, 2026, the Company’s common stock began trading under the new Nasdaq symbol “KYNB.”</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are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We initiated a Phase 2 monotherapy dose optimization study of FG-3246 for the treatment of mCRPC, along with the exploratory sub-study of FG-3180, in the third quarter of 2025.</w:t>
      </w:r>
    </w:p>
    <w:p>
      <w:pPr>
        <w:spacing w:after="0" w:line="187"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7"/>
          <w:szCs w:val="17"/>
          <w:color w:val="auto"/>
        </w:rPr>
        <w:t>We and our collaboration partners developed roxadustat (</w:t>
      </w:r>
      <w:r>
        <w:rPr>
          <w:rFonts w:ascii="SimSun" w:cs="SimSun" w:eastAsia="SimSun" w:hAnsi="SimSun"/>
          <w:sz w:val="17"/>
          <w:szCs w:val="17"/>
          <w:color w:val="auto"/>
        </w:rPr>
        <w:t>爱瑞卓</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EVRENZO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which is currently approved in Europe, Japan, the People’s Republic of China (“China”), and numerous other countries for the treatment of anemia in chronic kidney disease (“CKD”) patients on dialysis and not on dialysis.</w:t>
      </w:r>
    </w:p>
    <w:p>
      <w:pPr>
        <w:spacing w:after="0" w:line="1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29, 2025, we closed the sale of our China operations through FibroGen International (Hong Kong) Ltd. (“FibroGen International”) to AstraZeneca Treasury Limited pursuant to the share purchase agreement entered into by the Company and AstraZeneca Treasury Limited on February 20, 2025, as amended (the “Share Purchase Agreement”) for a total consideration of $220.4 million comprised of $85.0 million in enterprise value and $135.4 million in net cash held in China. AstraZeneca AB (“AstraZeneca”) was our long-time commercialization partner for roxadustat in greater China. This sale included all of our roxadustat assets in China, including FibroGen International’s subsidiary FibroGen (China) Medical Technology Development Co., Ltd. (“FibroGen Beijing”) and its 51.1% interest in Beijing Falikang Pharmaceutical Co. Ltd. (“Falikang”).</w:t>
      </w:r>
    </w:p>
    <w:p>
      <w:pPr>
        <w:spacing w:after="0" w:line="18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Kyntra Bio has retained the rights to roxadustat in the United States of America (“U.S.”), Canada, Mexico, and in all markets not held by AstraZeneca or licensed to Astellas Pharma Inc. (“Astellas”).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continue to advance our development plan for roxadustat in anemia associated with lower-risk myelodysplastic syndromes (“MDS”), a high-value indication with significant unmet medical need. We had a positive Type-C meeting with the U.S. Food and Drug Administration (“FDA”) in July 2025 and reached alignment on several elements of our proposed Phase 3 study design for roxadustat in anemia associated with lower-risk MDS, including the starting dose and the patient inclusion criteria. We are starting preparations for the Phase 3 trial, while evaluating internal development and potential partnership opportunities for this late-stage program. We submitted the Phase 3 trial protocol for roxadustat for the treatment of anemia in patients with lower-risk MDS and high transfusion burden to the FDA in December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granted Roxadustat Orphan Drug Designation for the treatment of MDS in December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Development and Research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overview of our clinical, commercial, and research programs.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FG-3246 and FG-3180 </w:t>
      </w:r>
      <w:r>
        <w:rPr>
          <w:rFonts w:ascii="Times New Roman" w:cs="Times New Roman" w:eastAsia="Times New Roman" w:hAnsi="Times New Roman"/>
          <w:sz w:val="18"/>
          <w:szCs w:val="18"/>
          <w:b w:val="1"/>
          <w:bCs w:val="1"/>
          <w:i w:val="1"/>
          <w:iCs w:val="1"/>
          <w:color w:val="auto"/>
        </w:rPr>
        <w:t>in mCRPC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 Overview</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Prostate cancer is the second most common malignancy in men, contributing significantly to male mortality rates. Approximately 13% of men will be diagnosed with prostate cancer at some point during their lifetime. In any given year, there are approximately 65,000 drug treatable mCRPC cases in the U.S. across the various lines of therapy, and 5-year survival in mCRPC is approximately 30%.</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Current Standard of Care</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Treatment choice in first and second line mCRPC significantly depends on patients’ prior treatments in the castration sensitive phase. Androgen receptor signaling inhibitors or androgen receptor pathway inhibitors (“ARSIs” / “ARPIs”, often used interchangeably) and chemotherapy are the preferred treatments in patients who have not been exposed to either in earlier lines of therapy. Most patients who previously progressed on an ARPI will subsequently receive chemotherapy. Switching to another ARPIs is another option for these patients but this approach is generally associated with suboptimal outcomes.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25-30% of patients with homologous recombination repair mutation (“HRRm”), poly (ADP-ribose) polymerase PARP inhibitors are the standard of care for mCRPC patients.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recent approval of prostate-specific membrane antigen (“PSMA”)-targeted radiopharmaceutical Pluvicto (lutetium Lu 177 vipivotide tetraxetan) in the post-ARPI and pre-chemotherapy setting has diversified treatment options in first and second line mCRPC for PSMA positive patients. Furthermore, PSMA-PET has been validated as standard of care diagnostic in prostate cancer, while LOCAMETZ or an approved PSMA-11 imaging agent are approved to select patients for treatment with Pluvicto.</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Kyntra Bio is developing FG-3246 in the post-ARPI, pre-chemotherapy mCRPC setting. This is an area of high unmet need, where radiographic progression free survival is short: Approximately 5-6 months after switching to a different ARPI, approximately 8 months with chemotherapy, and 9.3 months with Pluvicto in PSMA-positive patients, who are considered appropriate to delay taxane-based chemotherapy. Novel mechanisms of action that extend survival are critical in this setting as well as biomarker driven treatment approaches. FG-3246 and the potential patient selection biomarker FG-3180 are being developed to address these unmet medical needs.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Monotherapy Clinical Trial of FG-3246 and FG-3180 for the Treatment of mCRPC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developing FG-3246 in mCRPC. FG-3246 is a potential first-in-class ADC targeting CD46, a novel epitope expressed on the surface of prostate and other cancer cells. In addition to CD46 being expressed at high levels in certain tumor types with limited expression in most normal tissues, CD46 is a cell receptor that induces internalization upon antibody binding, which makes it an ideal target for an ADC . The cytotoxic payload of FG-3246 is monomethyl auristatin E (“MMAE”), an anti-mitotic agent that has been utilized in four commercially approved ADC drugs.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actively enrolling our Phase 2 monotherapy dose optimization study of FG-3246 for the treatment of patients with mCRPC in the post-ARPI and pre-chemotherapy setting, with interim results expected in the second half of 2026.</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trial is also assessing the diagnostic and predictive performance of FG-3180, a companion PET imaging agent, which shares the same CD46-targeted antibody used in FG-3246. The ability of FG-3180 to identify mCRPC lesions and predict response to FG-3246 is being evaluated.</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ongoing Phase 2 monotherapy trial (</w:t>
      </w:r>
      <w:r>
        <w:rPr>
          <w:rFonts w:ascii="Times New Roman" w:cs="Times New Roman" w:eastAsia="Times New Roman" w:hAnsi="Times New Roman"/>
          <w:sz w:val="18"/>
          <w:szCs w:val="18"/>
          <w:u w:val="single" w:color="auto"/>
          <w:color w:val="auto"/>
        </w:rPr>
        <w:t>NCT06842498</w:t>
      </w:r>
      <w:r>
        <w:rPr>
          <w:rFonts w:ascii="Times New Roman" w:cs="Times New Roman" w:eastAsia="Times New Roman" w:hAnsi="Times New Roman"/>
          <w:sz w:val="18"/>
          <w:szCs w:val="18"/>
          <w:color w:val="auto"/>
        </w:rPr>
        <w:t>) is a randomized, open label, dose optimization trial designed to evaluate the safety, efficacy, tolerability, and pharmacokinetics (PK) of FG-3246 for the treatment of patients with mCRPC who have progressed following ARPI treatment and who have not received chemotherapy for their mCRPC. The trial is scheduled to enroll 75 patients who will be randomized 1:1:1 to receive either 1.8, 2.4 or 2.7 mg/kg AJBW of FG-3246. The primary endpoint of the trial is the determination of the optimal dose for the Phase 3 trial based on efficacy, safety, and PK parameters. Secondary endpoints include radiographic progression-free survival (“rPFS”), prostate-specific antigen (“PSA”) 50 response, and PSA90 response. An interim analysis is currently planned once 12 patients enrolled in each of the three dose arms have completed 12 weeks on study or discontinued and is anticipated in the second half of 2026.</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 exploratory sub-study will evaluate FG-3180, a companion PET imaging agent, as a diagnostic radiopharmaceutical. All patients deemed eligible for participation in the Phase 2 trial will participate in the sub-study evaluating FG-3180 prior to randomization.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Prior Studies of FG-3246 and FG-3180 for the Treatment of mCRPC</w:t>
      </w:r>
    </w:p>
    <w:p>
      <w:pPr>
        <w:spacing w:after="0" w:line="12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 March 2025, Kyntra Bio announced the peer-reviewed publication titled “A Phase 1, First-in-Human Study of FOR46 (FG-3246), an Immune-Modulating Antibody-Drug Conjugate Targeting CD46, in Patients with Metastatic Castration Resistant Prostate Cancer” in the Journal of Clinical Oncology. The manuscript included the complete results from the Fortis Therapeutics, Inc. (“Fortis”)-sponsored Phase 1 study of FG-3246 in heavily-pretreated, biomarker un-selected patients with mCRPC. Key efficacy highlights observed in the RECIST-evaluable set of 25 patients include: (1) confirmed objective response rate was 20% with median duration of response of 7.5 months, (2) all objective responses observed at a starting dose of 2.7 mg/kg or higher, and (3) disease control rate was 80% with duration of treatment exceeding 24 weeks in 12 patients (48%); (4) PSA50 response rate of 36% in 39 evaluable patients (of eight evaluable patients who received docetaxel in the castration-sensitive setting, four (50%) achieved a confirmed PSA50 response); (5) median radiographic progression-free survival of 8.7 months in all 40 subjects in the efficacy analysis set; (6) of 15 evaluable baseline tumors, 12 (80%) were positive for CD46 expression by immunohistochemistry; and (7) FG-3246 responders were found to have a significantly higher frequency of effector T cells and lower frequency of immunosuppressive myeloid cells.</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February 2026, the University of California, San Francisco (“UCSF”) presented positive results from the investigator-sponsored Phase 1b/2 study of FG-3246 in combination with enzalutamide in patients with mCRPC at the 2026 American Society of Clinical Oncology Genitourinary Cancers Symposium (ASCO GU). The presentation includes data from 44 biomarker unselected patients with progressive mCRPC, 17 of which were enrolled in the Phase 1b dose escalation portion of the study with 27 enrolled in the dose expansion phase of the study. Eligibility criteria for the trial included patients who progressed on at least one prior ARPI while patients who were treated with prior chemotherapy in the castration-resistant setting were excluded. Over 60% of the patients progressed on two or more prior ARPIs prior to enrollment, which included prior enzalutamide treatment. The primary endpoint of the escalation phase was assessment of dose-limiting toxicities (“DLT”) and determination of the maximum tolerated dose and recommended dose for the Phase 2 portion of the study – which was determined to be 2.1 mg/kg of FG-3246 and 160mg/day of enzalutamide. The primary endpoint of the Phase 2 expansion portion of the study was composite response rate (PSA50 response and/or objective response per RECIST v1.1). Secondary endpoints were PSA50 response rate, objective response rate, rPFS, overall survival, and treatment-related adverse events (“TRAEs”).</w:t>
      </w:r>
    </w:p>
    <w:p>
      <w:pPr>
        <w:spacing w:after="0" w:line="194"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FG-3246 combined with enzalutamide demonstrated anti-tumor activity with a composite response rate of 21% in the overall cohort and 40% in patients who had progressed on only one prior ARPI. Median rPFS of 7.0 months was observed in the overall cohort. Notably, median rPFS of 10.1 months was observed in patients who had progressed on only one prior ARPI, a result which was consistent across the different prior ARPIs administered.</w:t>
      </w:r>
    </w:p>
    <w:p>
      <w:pPr>
        <w:spacing w:after="0" w:line="15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Additionally, in an exploratory analysis, tumor uptake of FG-3180 (our CD46-targeting PET imaging agent) was numerically associated with PSA50 response (nominal p=0.053), highlighting its potential as a biomarker for patient selection.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Combination therapy of FG-3246 and enzalutamide demonstrated a similar safety profile as was observed in the previous Phase 1 monotherapy trial of FG-3246. Neutropenia risk was successfully mitigated with use of granulocyte colony-stimulating factor (“G-CSF”) prophylaxis.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most frequent TRAEs with the combination therapy included fatigue, peripheral neuropathy, anorexia, and dysgeusia. Cumulative toxicities, including peripheral neuropathy, led to treatment discontinuation for some patients.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IN ANEMIA ASSOCIATED WITH MDS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 Overview</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MDS are a diverse group of bone marrow disorders characterized by ineffective production of healthy blood cells and premature destruction of blood cells in the bone marrow, leading to anemia. In most MDS patients, the cause of the disease is unknown.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diagnosed prevalence of MDS in the U.S. is estimated to be between 60,000 and 170,000, and continues to rise as more therapies become available and patients are living longer with MDS. Annual incidence rates are estimated to be 4.9/100,000 adults in the U.S.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Anemia is the most common clinical presentation in MDS, seen in approximately 80% of MDS patients, and produces symptoms of fatigue, weakness, exercise intolerance, shortness of breath, dizziness, and cognitive impairment.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Limitations of the Current Standard of Care for Anemia in MDS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Stem cell transplantation is the only potentially curative therapy for MDS, but it is not feasible in most patients due to their advanced age and frailty. The high rate of severe anemia leaves recurring red blood cell (“RBC”) transfusions as the mainstay of care in MDS patients. Transfusion can result in direct organ damage through transfusional iron overload. Transfusion-dependent MDS patients suffer higher rates of cardiac events, infections, and transformation to acute leukemia, a decreased overall survival rate when compared with non-transfused patients with MDS, and decreased survival compared to an age-matched elderly population. Patients receiving RBC transfusions may require an iron chelator in order to address toxic elements of iron overload such as lipid peroxidation and cell membrane, protein, DNA, and organ damage.</w:t>
      </w:r>
    </w:p>
    <w:p>
      <w:pPr>
        <w:spacing w:after="0" w:line="18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Lower-risk MDS patients represent approximately 77% of the total diagnosed MDS population. National Comprehensive Cancer Network guidelines recommend the use of ESAs, luspatercept and imetelstat in lower risk MDS patients, depending on patients’ treatment history, serum erythropoietin (“EPO”) levels and </w:t>
      </w:r>
      <w:r>
        <w:rPr>
          <w:rFonts w:ascii="Times New Roman" w:cs="Times New Roman" w:eastAsia="Times New Roman" w:hAnsi="Times New Roman"/>
          <w:sz w:val="18"/>
          <w:szCs w:val="18"/>
          <w:i w:val="1"/>
          <w:iCs w:val="1"/>
          <w:color w:val="auto"/>
        </w:rPr>
        <w:t>ring sideroblast status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Currently available treatment options are effective in only ~50% patients, are challenging to dose-calibrate and can only be administered via subcutaneous injection or through IV infusion. New strategies that provide durable response and the convenience of oral administration are highly desired in managing patients with lower-risk MDS.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 for Roxadustat in MDS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believe there is a significant need for a safe and convenient option to address anemia in patients with lower-risk MDS that is effective agnostic of ring sideroblast status. Roxadustat, our orally administered small molecule hypoxia-inducible factor prolyl hydroxylase inhibitor, stimulates the body’s natural mechanism of RBC production and iron hemostasis based on cellular-level oxygen-sensing and iron-regulation mechanisms. Unlike ESAs which are limited to providing exogenous EPO, roxadustat activates a coordinated erythropoietic response in the body that includes the stimulation of RBC progenitors, an increase in the body’s production of endogenous EPO, and an increase in iron availability for hemoglobin synthesis, which we believe is important in a broad range of lower-risk MDS patients. Moreover, in anemia of CKD, roxadustat has demonstrated the ability in clinical trials to increase and maintain hemoglobin levels in the presence of inflammation as measured by C-reactive protein (“CRP”), where ESAs have shown limited effect. We believe that roxadustat has the potential to replicate this result in lower-risk MDS anemia patients, where it is not uncommon for patients to present with autoimmune and inflammatory conditions.</w:t>
      </w:r>
    </w:p>
    <w:p>
      <w:pPr>
        <w:spacing w:after="0" w:line="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According to Grand View Research, the global MDS market was estimated at approximately $3 billion in 2023 and is projected to reach approximately $5 billion by 2030 (approximately 9% CAGR from 2024 to 2030), attributed primarily to the rise in novel therapeutics.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in MDS Clinical Trials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Kyntra Bio maintains its rights to roxadustat in the U.S., Canada, Mexico and in all markets not licensed to Astellas or held by AstraZeneca.</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had a positive Type-C meeting with the FDA in July 2025, and reached alignment on several elements of our proposed Phase 3 study design for roxadustat in anemia associated with lower-risk MDS, including the starting dose and the patient inclusion criteria.</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advancing preparations for the Phase 3 trial, while evaluating internal development and potential partnership opportunities for this late-stage program. We submitted the Phase 3 trial protocol for roxadustat for the treatment of anemia in patients with lower-risk MDS and high transfusion burden to the FDA in December 2025.</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FDA granted Roxadustat Orphan Drug Designation for the treatment of MDS in December 2025. If roxadustat is approved for lower-risk MDS, Orphan Drug Designation would provide seven years regulatory exclusivity for roxadustat in lower-risk MDS in the U.S., along with additional economic and other benefits associated with the Orphan Drug Designation.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Phase 3 trial is planned to assess the safety and efficacy of roxadustat in a randomized, double-blind, placebo-controlled design in approximately 200 patients with lower-risk MDS. Alignment was reached with the FDA on the patient population (patients requiring ≥ 4 RBC units in two consecutive 8-week periods prior to randomization, who are refractory to, intolerant to, or ineligible for prior erythropoiesis-stimulating agents (ESA) therapy), dose regimen, as well as management of potential thrombotic risk through eligibility, dose modification and discontinuation criteria. For the primary endpoint of RBC transfusion independence, the Company is considering independence over either an 8-week period or 16-week period.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Phase 2/3 Clinical Trial in MDS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Topline 28-week data from MATTERHORN, our Phase 2/3 placebo-controlled, double-blind clinical trial of roxadustat for the treatment of anemia in MDS, was presented in the fourth quarter of 2023 at the American Society of Hematology annual conference.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More patients in the roxadustat arm (47.5% of 80 patients) achieved transfusion independence for 56 consecutive days (within the first 28 weeks) than the placebo arm (33.3% of 57 patients); however, the p-value was not significant.</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 post-hoc analysis of patients with high transfusion burden (4 or more packed RBC units over two consecutive 8-week periods), 36% of the 22 roxadustat patients achieved transfusion independence, versus 7% of the 15 placebo patients (nominal p-value of 0.04).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in Anemia of CKD</w:t>
      </w:r>
    </w:p>
    <w:p>
      <w:pPr>
        <w:spacing w:after="0" w:line="128" w:lineRule="exact"/>
        <w:rPr>
          <w:sz w:val="20"/>
          <w:szCs w:val="20"/>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We and our collaboration partners developed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which is currently approved in China, Europe, Japan, and numerous other countries for the treatment of anemia in CKD patients on dialysis and not on dialysis.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 Roxadustat Commercial Program</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August 29, 2025, we closed the sale of our China operations through FibroGen International to AstraZeneca Treasury Limited pursuant to the Share Purchase Agreement for a total consideration of $220.4 million, comprised of $85.0 million in enterprise value and $135.4 million in net cash held in China. This sale included all of our roxadustat assets in China, including FibroGen International’s subsidiary FibroGen Beijing and its 51.1% interest in Falikang.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Europe, Japan and Rest of World - Roxadustat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Kyntra Bio has retained the rights to roxadustat in the U.S., Canada, Mexico, and in all markets not held by AstraZeneca or licensed to Astellas.</w:t>
      </w:r>
    </w:p>
    <w:p>
      <w:pPr>
        <w:spacing w:after="0" w:line="232" w:lineRule="exact"/>
        <w:rPr>
          <w:sz w:val="20"/>
          <w:szCs w:val="20"/>
          <w:color w:val="auto"/>
        </w:rPr>
      </w:pPr>
    </w:p>
    <w:p>
      <w:pPr>
        <w:ind w:right="640"/>
        <w:spacing w:after="0" w:line="227" w:lineRule="auto"/>
        <w:rPr>
          <w:sz w:val="20"/>
          <w:szCs w:val="20"/>
          <w:color w:val="auto"/>
        </w:rPr>
      </w:pPr>
      <w:r>
        <w:rPr>
          <w:rFonts w:ascii="Times New Roman" w:cs="Times New Roman" w:eastAsia="Times New Roman" w:hAnsi="Times New Roman"/>
          <w:sz w:val="18"/>
          <w:szCs w:val="18"/>
          <w:color w:val="auto"/>
        </w:rPr>
        <w:t>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revenue to date has been generated primarily from our collaboration agreements with Astellas and AstraZeneca for the development and commercialization of roxadustat. For the years ended December 31, 2025 and 2024, our revenue for continuing operations was substantially related to our collaboration agreements.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U.S. and Europe regulatory approval of roxadustat, and equally share those development costs under the agreed development plan for such activities. Astellas will be responsible for clinical development activities and all associated costs required for regulatory approval in all other countries in the Astellas territories. Astellas will hold and have responsibility for regulatory filings in its territories. We are responsible, either directly or through our contract manufacturers, for the manufacture and supply of all quantities of roxadustat to be used in development and commercialization under the agreements, other than roxadustat drug product for Japan. Astellas is responsible for roxadustat commercialization activities in the Astellas territories.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29, 2025, we closed the sale of our China operations through FibroGen International to AstraZeneca Treasury Limited pursuant to the Share Purchase Agreement for a total consideration of $220.4 million comprised of $85.0 million in enterprise value and $135.4 million in net cash held in China. AstraZeneca was our long-time commercialization partner for roxadustat in greater China. This sale includes all of our roxadustat assets in China, including FibroGen International’s subsidiary FibroGen Beijing and its 51.1% interest in Falikang.</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Upon the closing, we assigned to AstraZeneca Treasury Limited all rights to roxadustat in China, Hong Kong, and Macao, including rights to manufacture, develop, distribute, and commercialize roxadustat.</w:t>
      </w:r>
    </w:p>
    <w:p>
      <w:pPr>
        <w:spacing w:after="0" w:line="16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Kyntra Bio has retained the rights to roxadustat in the U.S., Canada, Mexico, and in all markets not held by AstraZeneca or licensed to Astellas. Roxadustat is not approved for commercialization in any indication in the U.S., Canada, or Mexico.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AstraZeneca for roxadustat for the treatment of anemia in the U.S. and all territories except for China and those territories previously licensed to Astellas (the “AstraZeneca U.S./RoW Agreement”) was terminated (except South Korea) on February 25, 2024, as amended and restated on August 29,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Related to Collaboration Agreements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related to our collaboration agreements is set forth in Item 7 of this Annual Report, and Note 4,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and Revenues, </w:t>
      </w:r>
      <w:r>
        <w:rPr>
          <w:rFonts w:ascii="Times New Roman" w:cs="Times New Roman" w:eastAsia="Times New Roman" w:hAnsi="Times New Roman"/>
          <w:sz w:val="18"/>
          <w:szCs w:val="18"/>
          <w:color w:val="auto"/>
        </w:rPr>
        <w:t>to our consolidated financial statements under Item 8 of this Annual Report. Information about collaboration partners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accounted for more than 10% of our total revenue for the last two fiscal years is set forth in Note 15,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to our consolidated financial statements under Item 8 of this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and Option to Acquire Fortis Therapeutics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May 2023, we entered into an exclusive option agreement to acquire Fortis with its novel Phase 1 ADC, FG-3246 (previously FOR46), that targets a novel epitope on CD46 preferentially expressed on certain cancer cells. FG-3246 is in development for the treatment of mCRPC with potential applicability in other solid tumors and hematologic malignancies.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Kyntra Bio has exclusively licensed FG-3246 and will control and fund future research and development, including a Phase 2 clinical study sponsored by Kyntra Bio, and manufacturing of FG-3246 during the option period (which ends on December 31, 2027). As part of the clinical development strategy, we will continue the work to develop a PET-based biomarker utilizing a radiolabeled version of the targeting antibody for patient selection.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exercise the option to acquire Fortis, we will pay Fortis $80.0 million, and thereafter, Fortis would be eligible to receive from Kyntra Bio up to</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Kyntra Bio chooses not to acquire Fortis, its exclusive license to FG-3246 would expire.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FINANCING AGREEMENTS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November 2022, we entered into a revenue interest financing agreement (the “RIFA”) with NQ Project Phoebus, L.P. (“NovaQuest”) with respect to our revenues from Astellas’ sales of roxadustat in Europe, Japan and the other Astellas territories.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RIFA, we received $49.8 million from NovaQuest, representing the gross proceeds of $50.0 million net of initial issuance costs, in consideration for a portion of future revenues we will receive from Astellas. For additional details about this financing transaction, see Note 9, </w:t>
      </w:r>
      <w:r>
        <w:rPr>
          <w:rFonts w:ascii="Times New Roman" w:cs="Times New Roman" w:eastAsia="Times New Roman" w:hAnsi="Times New Roman"/>
          <w:sz w:val="18"/>
          <w:szCs w:val="18"/>
          <w:i w:val="1"/>
          <w:iCs w:val="1"/>
          <w:color w:val="auto"/>
        </w:rPr>
        <w:t>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Sale of Future Revenues</w:t>
      </w:r>
      <w:r>
        <w:rPr>
          <w:rFonts w:ascii="Times New Roman" w:cs="Times New Roman" w:eastAsia="Times New Roman" w:hAnsi="Times New Roman"/>
          <w:sz w:val="18"/>
          <w:szCs w:val="18"/>
          <w:color w:val="auto"/>
        </w:rPr>
        <w:t>, to the consolidated financial statements.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2" w:name="page13"/>
    <w:bookmarkEnd w:id="12"/>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On August 29, 2025, we repaid our term loan facility with Morgan Stanley Tactical Value that was entered into in April 2023. For additional details about this financing transaction, see Note 8,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to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are highly competitive, particularly in some of the indications of our developing drug candidates.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pancreatic cancer, where we do not currently have a development or commercialization partner.</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any products that we develop and commercialize to compete based on, among other things, efficacy, safety, convenience of administration and delivery, price, the level of generic competition, and the availability of reimbursement from government and other third-party payors.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that in many cases, the products that we commercialize will compete with existing marketed products, as well as product candidates that may be approved in the future, from companies that have large, established commercial organizations. In addition, we will likely face competition in patient recruitment and enrollment for clinical trials from other companies developing or seeking to pursue products or treatments in the same diseases or indications as us.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continue to enter into contractual arrangements with qualified third-party manufacturers to manufacture and package our products and product candidates. We believe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As our product candidates proceed through development, we explore or enter into longer-term commercial supply agreements with key suppliers and manufacturers in order to meet the ongoing and planned clinical and commercial supply needs for ourselves and our partners. Our timing of entry into these agreements is based on the current development and commercialization plans.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Roxadustat is a small-molecule drug manufactured from generally available commercial starting materials and chemical technologies and multi-purpose equipment available from many third-party contract manufacturers. We have entered into commercial supply arrangements with Shanghai SynTheAll Pharmaceutical Co., Ltd. (“WuXi STA”) and Catalent Pharma Solutions, LLC (“Catalent”) as our primary manufacturers of roxadustat drug substance (also known as active pharmaceutical ingredient (“API”)) and roxadustat drug product, respectively. WuXi STA is located in China and currently supplies our API globally. WuXi STA has passed inspections by several regulatory agencies, including the FDA and NMPA, and is Current Good Manufacturing Practice (“cGMP”) compliant. Catalent is located in the U.S. and supplies our drug product tablets globally except for Japan, where they are manufactured by Astellas. Catalent has passed several regulatory inspections, including by the FDA, and manufactures commercial products for other clients.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business activities and operations, including the clinical testing, manufacturing, labeling, storage, distribution, record keeping, advertising, promotion, import, export and marketing of our product candidates, among other things, are subject to extensive regulation by governmental authorities in the U.S., China, and other countries. The process of obtaining regulatory approvals and the subsequent compliance with appropriate federal, state, local and foreign statutes and regulations, including in Europe and China, requires the expenditure of substantial time and financial resources. Compliance with environmental laws, rules, and regulations has not had, and is not expected to have, a material effect on our capital expenditures, results of operations, or competitive position, and we do not currently anticipate material capital expenditures for environmental control facilities.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line="258" w:lineRule="auto"/>
        <w:rPr>
          <w:sz w:val="20"/>
          <w:szCs w:val="20"/>
          <w:color w:val="auto"/>
        </w:rPr>
      </w:pPr>
      <w:r>
        <w:rPr>
          <w:rFonts w:ascii="Times New Roman" w:cs="Times New Roman" w:eastAsia="Times New Roman" w:hAnsi="Times New Roman"/>
          <w:sz w:val="18"/>
          <w:szCs w:val="18"/>
          <w:color w:val="auto"/>
        </w:rPr>
        <w:t>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Product Approval Process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results of the preclinical studies, together with manufacturing information and analytical data, are submitted to the FDA as part of the Investigational New Drug Application (“IND”), which includes a protocol detailing, among other things, the objectives of the clinical trial.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have an Exclusive Option Agreement and Evaluation Agreement with Fortis, Fortis currently holds the IND for FG-3246/FOR46.</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Further, the protocol for each clinical trial must be reviewed and approved by an independent institutional review board, either centrally or individually at each institution at which the clinical trial will be conducted.</w:t>
      </w:r>
    </w:p>
    <w:p>
      <w:pPr>
        <w:spacing w:after="0" w:line="16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results of preclinical studies and clinical trials, together with detailed information on the manufacture, composition and quality of the product candidate, are submitted to the FDA in the form of an NDA (for a drug) or Biologics License Application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Application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Once the NDA or BLA submission is accepted for filing, which occurs, if at all, 60 days after submission, the FDA informs the applicant of the specific date by which the FDA intends to complete its review. During the approval process, the FDA reviews NDAs and BLAs to determine, among other things, whether the proposed product is safe and effective for its intended use, and whether the product is manufactured in accordance with cGMPs to assure and preserve the product’s identity, strength, quality and purity. The FDA may require Risk Evaluation and Mitigation Strategy to assure safe use of the product, and inspections of manufacturing facilities (for cGMP compliance) and clinical trial sites (for integrity of data supporting safety and efficacy). The FDA may also convene an advisory committee of external experts to review issues relating to risk, benefit and interpretation of clinical trial data. The FDA may require post-marketing testing and surveillance to monitor safety or efficacy of a product. FDA will issue either an approval of the NDA or BLA or a CRL detailing the deficiencies and information required in order for reconsideration of the application.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The FDA requires prior approval before implementing any changes to the manufacturing process, investigations and corrections of any deviations from cGMP, and impose reporting and documentation requirements on the sponsor and any third-party manufacturer the sponsor may use. Accordingly, manufacturers must expend time, money, and effort in the area of production and quality control to maintain cGMP compliance.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in violation may be subject to significant liability.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and Healthcare and Transparency Laws and Regulations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Although there are a number of statutory exemptions and regulatory safe harbors protecting certain common activities from prosecution, the exemptions and safe harbors are drawn narrowly.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federal false claims laws and federal civil monetary penalties statute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The federal Health Insurance Portability and Accountability Act of 1996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federal and state healthcare privacy and security laws. For example, HIPAA, as amended by the Health Information Technology for Economic and Clinical Health Act, and its implementing regulations, imposes certain requirements on covered entities, business associates and their covered subcontractors relating to the privacy, security and transmission of individually identifiable health information. In addition, state laws complicate compliance efforts by the way they govern the privacy and security of health information in certain circumstances, many of which differ from each other in significant ways and with varying effects.</w:t>
      </w:r>
    </w:p>
    <w:p>
      <w:pPr>
        <w:spacing w:after="0" w:line="183"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other healthcare professionals, and teaching hospitals, or to entities or individuals at the request of, or designated on behalf of, such healthcare professionals and teaching hospitals and to report annually certain ownership and investment interests held by physicians and their immediate family members.</w:t>
      </w:r>
    </w:p>
    <w:p>
      <w:pPr>
        <w:spacing w:after="0" w:line="18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Also, many states have similar healthcare statutes or regulations that apply to items and services reimbursed under Medicaid and other state programs, or, in several states, apply regardless of the payor.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may process confidential, proprietary, and sensitive information, including personal data.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(“CCPA”),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China’s Personal Information Protection Law, the ePrivacy Directive, and the Payment Card Industry Data Security Standard. Several states within the U.S. have enacted or proposed data privacy and security laws. For example, Virginia passed the Consumer Data Protection Act, and Colorado passed the Colorado Privacy Act. Additionally, we are, or may become, subject to various U.S. federal and state consumer protection laws that require us to publish statements that accurately and fairly describe how we handle personal data and choices individuals may have about the way we handle their personal data.</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CCPA, EU GDPR, and UK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collection, use, and disclosure of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California Privacy Rights Act of 2020 (“CPRA”), effective January 1, 2023, expanded the CCPA by, among other things, giving California residents the ability to limit use of certain sensitive personal data, establishing restrictions on personal data retention, expanding the types of data breaches that are subject to the CCPA’s private right of action, and establishing a new California Privacy Protection Agency to implement and enforce the new law.</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for additional information about the laws and regulations to which we may become subject and about the risks to our business associated with such laws and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both domestic and foreign markets, our sales of any approved products will depend in part on the availability of coverage and adequate reimbursement from third-party payors. Third-party payors include government health administrative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Third-party payors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right="20"/>
        <w:spacing w:after="0" w:line="254" w:lineRule="auto"/>
        <w:rPr>
          <w:sz w:val="20"/>
          <w:szCs w:val="20"/>
          <w:color w:val="auto"/>
        </w:rPr>
      </w:pPr>
      <w:r>
        <w:rPr>
          <w:rFonts w:ascii="Times New Roman" w:cs="Times New Roman" w:eastAsia="Times New Roman" w:hAnsi="Times New Roman"/>
          <w:sz w:val="18"/>
          <w:szCs w:val="18"/>
          <w:color w:val="auto"/>
        </w:rPr>
        <w:t>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and China, the pricing of prescription drugs is subject to government control. In some non-U.S. jurisdictions, the proposed pricing for a drug must be approved before it may be lawfully marketed. The requirements governing drug pricing vary widely from country to country. We may face competition for our product candidates from lower-priced products in foreign countries that have placed price controls on pharmaceutical products. In addition, there may be importation of foreign products that compete with our own products.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and Pricing Pressure</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Healthcare reform and cost-containment measures in the United States and abroad could affect the coverage, pricing, reimbursement and commercial potential of any product candidates for which we obtain marketing approval. In the U.S., federal and state lawmakers, regulators and payors continue to focus on drug pricing, reimbursement, transparency and patient access, and may adopt or expand measures that reduce reimbursement, impose manufacturer discounts or rebates, or otherwise limit the prices we may charge for our products.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U.S. healthcare environment has already been affected by major legislation, including the Affordable Care Act and the Inflation Reduction Act of 2022. Among other things, the Inflation Reduction Act established Medicare drug price negotiation for selected products, inflation-based rebate obligations, and a redesign of the Medicare Part D benefit, including a manufacturer discount program that became effective January 1, 2025. In addition, the first negotiated Medicare prices became effective on January 1, 2026. These and other current or future healthcare reform measures may reduce the commercial opportunity for our products, increase our compliance burdens, or otherwise adversely affect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 Outside of China</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and in China, a sponsor must submit a clinical trial application, much like an IND prior to the commencement of human clinical trials. A clinical trial application must be submitted to each national health authority and an independent ethics committee.</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China and the countries in Eastern Europe, Latin America or Asia, the requirements governing the conduct of clinical trials, product licensing, pricing, and reimbursement vary from country to country.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Regulatory Exclusivity for Approved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to the extent such period occurs after grant of the patent.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Market exclusivity provisions under the U.S. federal Food, Drug &amp; Cosmetic Act can also delay the submission or the approval of certain applications of companies seeking to reference another company’s NDA or BLA. The Hatch-Waxman Act provides a 5-year period of exclusivity to any approved NDA for a product containing a New Chemical Entity (“NCE”) never previously approved by FDA either alone or in combination with another active moiety. No application or abbreviated NDA directed to the same NCE may be submitted during the 5-year exclusivity period, except that such applications may be submitted after four years if they contain a certification of patent invalidity or non-infringement of the patents listed with the FDA by the innovator NDA.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Price Competition and Innovation Act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with respect to the patents listed with the FDA by the innovator BLA 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Act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drugs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t>Products receiving orphan designation in Europe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Europe for pediatric studies. No extension to any supplementary protection certificate can be granted on the basis of pediatric studies for orphan indications.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Country Data Exclusivity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Europe also provides opportunities for additional market exclusivity. For example, in Europe, upon receiving marketing authorization, a NCE or new biologic generally receives eight years of data exclusivity and an additional two years of market exclusivity. If granted, data exclusivity prevents regulatory authorities in Europe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own or license numerous patents in the U.S. and foreign countries primarily covering our products. We have also developed and are developing brand names and trademarks for our products. We consider the overall protection of our patents, trademarks, licenses, and other intellectual property rights to be of material value and act to protect these rights from infringement. 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Refer to </w:t>
      </w:r>
      <w:r>
        <w:rPr>
          <w:rFonts w:ascii="Times New Roman" w:cs="Times New Roman" w:eastAsia="Times New Roman" w:hAnsi="Times New Roman"/>
          <w:sz w:val="18"/>
          <w:szCs w:val="18"/>
          <w:i w:val="1"/>
          <w:iCs w:val="1"/>
          <w:color w:val="auto"/>
        </w:rPr>
        <w:t>“Government Regulation — Regulatory Exclusivity for Approved Products.”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legal proceedings with respect to our patents and patent applications and may be involved in such proceedings in the future. Additionally, we may claim that a third party infringes our intellectual property, or a third party may claim that we infringe its intellectual property. Such legal proceedings may be associated with significant expenses, damages, attorneys’ fees, costs of proceedings, and experts’ fees, and management and employees may be required to spend significant time in connection with these actions.</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positions for our most advanced programs are summarized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Patent Portfolio</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the composition-of-matter patents covering roxadustat expired in 2024 (except in the U.S., where they expire in 2025), the roxadustat patent portfolio includes additional patents providing protection for roxadustat, including protection for the commercial crystalline form, pharmaceutical compositions, and key intermediates in roxadustat synthesis. Subject to the additional details outlined below for particular territories, and exclusive of any patent term extension, U.S. and foreign patents relating to crystalline forms of roxadustat and key intermediates in roxadustat synthesis are due to expire in 2033, and U.S. and foreign patents relating to photostable formulations of roxadustat are due to expire in 2034.</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Supplemental Protection Certificates (SPCs) are pending or have been granted in European Union member states, where roxadustat has been granted marketing approval, on our European Patent No. 3470397 (the “`397 Patent”), which claims formulations comprising the commercial crystalline form of roxadustat, thereby extending patent protection to 2036. The `397 Patent was upheld in opposition and at the subsequent appeal. Patent term extensions (PTEs) have also been granted for several roxadustat-related patents in Japan, where roxadustat has been granted marketing approval, including on composition-of-matter and crystal form patents extending patent protection to 2029 and 2035,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FG-3246 Patent Portfolio</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FG-3246 patent portfolio includes U.S. and foreign patents and pending patent applications providing, upon grant, composition-of-mater protection for FG-3246 that are due to expire in 2035 exclusive of any patent term extension. In addition, U.S. patents, and US and foreign pending patent applications directed to pharmaceutical compositions and dosing of FG-3246 provide protection through an expiry date of 2041 exclusive of any patent term adjustment or extension that may be available in a particular country.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 and Know-How</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In-Licenses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Fortis Therapeutics / UCSF</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Effective May 5, 2023, we entered into an Evaluation Agreement with Fortis Therapeutics, Inc., under which the Company was granted an exclusive license to certain Fortis intellectual property (IP) and additional IP in-licensed by Fortis from UCSF for the purpose of performing evaluation activities associated with use of FG-3246/FOR46 particularly for treatment of mCRPC. The IP includes know-how, patents, and patent applications related to FG-3246 composition-of-matter and variants thereof, anti-CD46 antibodies and immunoconjugates made therefrom, and formulations, dosing regimens, and uses thereof. Composition-of-matter patents for FG-3246 are due to expire in 2035, and formulation and dosing regimen patents are due to expire in 2041, in each case exclusive of any patent term extension or adjustment that may be available.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agreement, we have first right to prepare, file, prosecute, and maintain patents and patent applications in the Fortis IP at our own expense and using mutually agreed-upon counsel. We are also obligated to reimburse Fortis for all payments made by Fortis to UCSF for expenses incurred by UCSF in prosecution and maintenance of the in-licensed patent portfolio, and other payments made by Fortis to UCSF under their license agreement during the term of the Evaluation Agreement.</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Unless terminated according to terms in the Evaluation Agreement, the term of the license is subject to an Option Agreement and Plan of Merger by and between the Company, Fortis Therapeutics, and Shareholder Representative Services LLC dated May 5, 2023. If we exercise the option to acquire Fortis, we will pay Fortis $80.0 million, and thereafter, Fortis would be eligible to receive from the Company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the Company chooses not to acquire Fortis, its exclusive license to FG-3246 would expire.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28, 2025, the Company and Fortis entered into amendments and modified the option exercise deadline to December 31, 2027.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had 34 employees in the U.S. as of December 31, 2025. None of our U.S. employees are represented by a labor union. None of our employees have entered into a collective agreement with us.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highly committed to building a diverse, dedicated, and impassioned team to deliver innovative therapies to patients facing serious unmet medical needs. Our core values of excellence, respect for people, integrity, and empowerment are fundamental to how we attract, grow, engage, and retain our people.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September 2025, we conducted a modified company-wide engagement survey to assess employee sentiment following our reduction in force. Overall, we had a 100% participation rate. Further, in an independent diversity, equity, and inclusion survey, positive employee sentiment about our progress in nurturing a culture of diversity, equity, belonging and inclusion increased to 96% in 2025 compared to 86% in 2024.</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biotechnology industry is an extremely competitive labor market and recruiting and retaining employees is critical to the continued success of our business. We focus on recruiting, retaining, and developing employees from a diverse range of backgrounds to conduct our research, development, commercialization, and administrative activities.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consistently review and evaluate our people practices to ensure that we attract, develop and retain a diverse, engaged and talented workforce. Our offerings include competitive, innovative and equitable pay practices, comprehensive health and wellness benefits, retirement and life insurance offerings, and offer fully remote work arrangements. In addition to annual compliance training on harassment prevention, our Code of Conduct, Anti-Bribery and data privacy, our employees are offered tuition reimbursement eligibility.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Ensuring diversity in our workforce begins with role modeling and striving for diversity in senior management. On our Board of Directors, 1 of 5 members (20%) is female. Further, 1 of 5 members (20%) identifies as Asian ethnicity. Notably, our U.S. workforce is 45% female. Our U.S. employees that self-report ethnicity are 48% Asian, Hispanic or Black.</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2023, we performed an environmental, social, and governance (“ESG”) assessment of our operations, finding that we accomplished most of our ESG goals, including adopting a policy to increase patient diversity in clinical trials. In 2024, we adopted a cybersecurity incidence response policy and committee charter, and approved a 2024 Equity Incentive Plan.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internet website address is www.kyntrabio.com. In addition to the information about us and our subsidiaries contained in this Annual Report, information about us can be found on our website. The information contained on, or that can be accessed through, our website is not part of, and is not incorporated into, this Annual Report.</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Additionally the Securities and Exchange Commission maintains an internet site that contains reports, proxy and information statements and other information. The address of the SEC’s website is www.sec.gov.</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mailing address is at 350 Bay Street, Suite 100, #6009, San Francisco, California 94133 and our telephone number is (415) 978-1200. Our website address is www.kyntrabio.com. The information contained on our website is not incorporated by reference herein.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“Kyntra Bio,” the Kyntra Bio logo and other trademarks or service marks of Kyntra Bio, Inc. appearing in this Annual Report are the property of Kyntra Bio, Inc.. This Annual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Annual Report on Form 10-K for the year ended December 31, 2025 (“Annual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products roxadustat and FG-3246 (in conjunction with our PET (as defined below) imaging agent FG-3180).</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future value drivers for Kyntra Bio, Inc. (“Kyntra Bio” or the “Company”) depend in large part on the continued commercial success of roxadustat in Europe and Japan, the potential of roxadustat for anemia associated with lower-risk myelodysplastic syndromes (“MDS”), and the development of FG-3246 (in conjunction with our positron emission tomography (“PET”) imaging agent FG-3180), which is in clinical development for metastatic castration-resistant prostate cancer (“mCRPC”).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in these programs are unsuccessful, it may materially and adversely affect our business and financial condition.</w:t>
      </w:r>
    </w:p>
    <w:p>
      <w:pPr>
        <w:spacing w:after="0" w:line="3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and obtaining marketing authorization are very difficult endeavors, and we may ultimately be unable to obtain regulatory approval for our various product candidates in one or more jurisdictions and in one or more indications.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development, manufacturing, marketing, and selling of our products and product candidates are and will continue to be subject to extensive and rigorous review and regulation by numerous government authorities in the United States of America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effective and has an acceptable safety profile for use in each indication for which approval is sought.</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2" w:name="page23"/>
    <w:bookmarkEnd w:id="22"/>
    <w:p>
      <w:pPr>
        <w:ind w:right="20"/>
        <w:spacing w:after="0" w:line="258" w:lineRule="auto"/>
        <w:rPr>
          <w:sz w:val="20"/>
          <w:szCs w:val="20"/>
          <w:color w:val="auto"/>
        </w:rPr>
      </w:pPr>
      <w:r>
        <w:rPr>
          <w:rFonts w:ascii="Times New Roman" w:cs="Times New Roman" w:eastAsia="Times New Roman" w:hAnsi="Times New Roman"/>
          <w:sz w:val="18"/>
          <w:szCs w:val="18"/>
          <w:color w:val="auto"/>
        </w:rPr>
        <w:t>The drug development and approval processes are expensive and require substantial resources and time, and in general, very few product candidates that enter development ultimately receive regulatory approval. In addition, our collaboration partner for roxadustat has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Regulatory authorities may take actions or impose requirements that delay, limit or deny approval of our product candidates for many reasons, including, among others:</w:t>
      </w:r>
    </w:p>
    <w:p>
      <w:pPr>
        <w:spacing w:after="0" w:line="54" w:lineRule="exact"/>
        <w:rPr>
          <w:sz w:val="20"/>
          <w:szCs w:val="20"/>
          <w:color w:val="auto"/>
        </w:rPr>
      </w:pPr>
    </w:p>
    <w:p>
      <w:pPr>
        <w:ind w:left="520" w:right="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or an independent advisory committee that our product candidate is effective and has an acceptable safety profile in a particular indication, or that such product candidate’s clinical and other benefits outweigh its safety risks;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information (including additional preclinical or clinical data or trials) is necessary to demonstrate the safety and efficacy of a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exhibiting an unacceptable safety signal at any stage of development;</w:t>
      </w:r>
    </w:p>
    <w:p>
      <w:pPr>
        <w:spacing w:after="0" w:line="117" w:lineRule="exact"/>
        <w:rPr>
          <w:rFonts w:ascii="Times New Roman" w:cs="Times New Roman" w:eastAsia="Times New Roman" w:hAnsi="Times New Roman"/>
          <w:sz w:val="18"/>
          <w:szCs w:val="18"/>
          <w:color w:val="auto"/>
        </w:rPr>
      </w:pPr>
    </w:p>
    <w:p>
      <w:pPr>
        <w:ind w:left="520" w:right="4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the clinical research organizations (“CROs”) or investigators that conduct clinical trials on our behalf, to comply with regulations or GCPs, clinical trial protocols, or contractual agreements, which may adversely impact our clinical trials, as well as, investigator-sponsored trials;</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results from clinical trial sites in a country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third-party contractors manufacturing our product candidates to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exclude the use of patient data from unreliable clinical trials, or disagreement with our interpretation of the data from our preclinical trials and clinical trials;</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approval of one of our clinical trial investigational new drug applications or protocol or protocol amendments (in particular, due to a government shutdown or other factor outside of our control);</w:t>
      </w:r>
    </w:p>
    <w:p>
      <w:pPr>
        <w:spacing w:after="0" w:line="53"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collaboration partners or other third parties such as clinical investigators to perform or complete their clinical programs in a timely manner, or at all; or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data from investigator-sponsored clinical trials to meet GCP standards.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delay or jeopardize our or our collaboration partners’ abilities to obtain regulatory approval for our product candidates in one or more indications.</w:t>
      </w:r>
    </w:p>
    <w:p>
      <w:pPr>
        <w:spacing w:after="0" w:line="16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Even if we believe our clinical trials, as well as, investigator-sponsored trials are successful, regulatory authorities may not agree that our completed clinical trials provide adequate data on safety or efficacy. Approval by one regulatory authority does not ensure approval by any other regulatory authority.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scenarios could materially harm the commercial prospects for our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clinical trials.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When we have an investigator-sponsored trial, we would have to rely on sponsor’s data generated independently under sponsor’s institutional practices. As a result, there is an additional risk that results may differ in future trials run by Kyntra Bio as the sponsor.</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Clinical trials can be delayed, suspended, or terminated by us, by the relevant institutional review boards at the sites at which such trials are being conducted, or by the FDA or other regulatory authorities, for a variety of reasons or factors, including:</w:t>
      </w:r>
    </w:p>
    <w:p>
      <w:pPr>
        <w:spacing w:after="0" w:line="54" w:lineRule="exact"/>
        <w:rPr>
          <w:sz w:val="20"/>
          <w:szCs w:val="20"/>
          <w:color w:val="auto"/>
        </w:rPr>
      </w:pPr>
    </w:p>
    <w:p>
      <w:pPr>
        <w:ind w:left="520" w:right="36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required regulatory or institutional review board approval or guidance;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drug to pass interim futility criteria for efficacy in a clinical trial design;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that meet safety stopping rules for the study in a clinical trial design;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timely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or retention, clinical site initiation, or retention problems associated with civil unrest, military conflicts around the world, or natural disasters;</w:t>
      </w:r>
    </w:p>
    <w:p>
      <w:pPr>
        <w:spacing w:after="0" w:line="53"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maintain clinical sites in compliance with clinical trial protocols or to conduct the clinical trial in accordance with regulatory requirements or our clinical protocols;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initiate or add a sufficient number of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quantities of product candidate for use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enrolling a sufficient number of patients to conduct our clinical trials, as well as, investigator-sponsored trials as planned;</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 by the FDA or other regulatory authorities resulting in the imposition of a clinical hold, warning letter, or other regulatory action;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identifying and qualifying patients to participate in clinical trials of our product candidates is critical to our success. The timing of our clinical trials, as well as, investigator-sponsored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6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of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as well as, investigator-sponsored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7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development plan becoming longer and more expensive;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our clinical trials, as well as, investigator-sponsored trials for the product candidates or specific indications affected;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Completion of our clinical trials, as well as, investigator-sponsored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or our collaboration partner, may not be able to accurately forecast clinical or commercial supply requirements and we may not meet or we may exceed our requirements as to quantities, scale-up, yield, cost, potency or quality in compliance with cGMP.</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a general risk of delayed drug supply due to delays experienced by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also our risk factor titled “</w:t>
      </w:r>
      <w:r>
        <w:rPr>
          <w:rFonts w:ascii="Times New Roman" w:cs="Times New Roman" w:eastAsia="Times New Roman" w:hAnsi="Times New Roman"/>
          <w:sz w:val="18"/>
          <w:szCs w:val="18"/>
          <w:i w:val="1"/>
          <w:iCs w:val="1"/>
          <w:color w:val="auto"/>
        </w:rPr>
        <w:t>We may have shortfalls, delays, or excesses in manufacturing.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regulatory approved/ in approval products and processes, additional clinical trials, delays in development or commercialization, earlier expiration dates, shorter shelf life, or specification failures, and those changes may materially impact our operations and potential profitability. This includes the scenario that the change may be unsuccessful and cause delays or other negative impact.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additional suppliers and validation/qualification of additional facilities to meet growing demand;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coordination of multiple contractors in our supply chain and securing necessary licenses (such as export licenses);</w:t>
      </w:r>
    </w:p>
    <w:p>
      <w:pPr>
        <w:spacing w:after="0" w:line="11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 w:name="page27"/>
    <w:bookmarkEnd w:id="26"/>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and shelf-life requirements of raw materials and supplies;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stability and product shelf life;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maintenance issues or failure;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quality assurance issues;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pandemics, floods, storms, earthquakes, tsunamis, and droughts, or accidents such as fire, that affect facilities, possibly limit or postpone production, and increase costs;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license to proprietary starting materials.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Kyntra Bio may also elect to transition its manufacturing responsibilities to another party. There may be risks underlying this manufacturing transition, as well as new risks that may emerge after the new organization takes over manufacturing, if that were to happen.</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development and commercialization of product candidates.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develop and commercialize new products with superior efficacy, convenience, tolerability, and safety.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expect that in many cases, the products that we commercialize will compete with existing marketed products of companies that have large, established commercial organizations.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we will likely face competition from other companies developing products in the same diseases or indications in which we are developing or commercializing products, particularly for the prostate cancer market. We will also face competition for patient recruitment and enrollment for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our products.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Kyntra Bio are not able to compete effectively against existing and potential competitors, our business and financial condition may be materially and adversely affected.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68"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candidate as demonstrated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and perceptions of safety of our product candidates relative to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healthcare providers and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product candidate relative to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pricing and reimbursement by third parties and government authorities as described below;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publicity relating to the product candidate.</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see the risk factor titled “</w:t>
      </w:r>
      <w:r>
        <w:rPr>
          <w:rFonts w:ascii="Times New Roman" w:cs="Times New Roman" w:eastAsia="Times New Roman" w:hAnsi="Times New Roman"/>
          <w:sz w:val="18"/>
          <w:szCs w:val="18"/>
          <w:i w:val="1"/>
          <w:iCs w:val="1"/>
          <w:color w:val="auto"/>
        </w:rPr>
        <w:t>Our product candidates may cause or have attributed to them undesirable side effects or have other properties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 or prevent their regulatory approval or limit their commercial potential</w:t>
      </w:r>
      <w:r>
        <w:rPr>
          <w:rFonts w:ascii="Times New Roman" w:cs="Times New Roman" w:eastAsia="Times New Roman" w:hAnsi="Times New Roman"/>
          <w:sz w:val="18"/>
          <w:szCs w:val="18"/>
          <w:color w:val="auto"/>
        </w:rPr>
        <w:t>” above. If any product candidate is approved but does not achieve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level of acceptance by such parties, we may not generate or derive sufficient revenue from that product candidate and may not become or remain profitable.</w:t>
      </w:r>
    </w:p>
    <w:p>
      <w:pPr>
        <w:spacing w:after="0" w:line="2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or limited reimbursement or insurance coverage of our approved products, by third-party payors may render our products less attractive to patients and healthcare providers.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applicable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were terminated or if our partners were unwilling or unable to contribute or participate in the collaborations, our ability to successfully develop and commercialize the relevant product candidate could suffer.</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entered into an Evaluation Agreement with Fortis Therapeutics, Inc. (“Fortis”) under which we rely, in part, on Fortis and its development partners, including University of California, San Francisco, for the continued development of FG-3246 (in conjunction with our PET biomarker). While we control development of FG-3246 for the evaluation period, we will be doing so under our investigational new drug application that references Fortis’s investigational new drug application. If Fortis were unwilling to cooperate with development efforts, our ability to develop FG-3246 (in conjunction with our PET biomarker) could be delayed.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active collaboration agreements with respect to the development and commercialization of roxadustat with Astellas Pharma Inc. (“Astellas”).</w:t>
      </w:r>
    </w:p>
    <w:p>
      <w:pPr>
        <w:spacing w:after="0" w:line="22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Our current agreements with Astellas provide them with the right to terminate their agreements for convenience or for breach, either of which could have an adverse effect on our business and operations. Moreover, if Astellas, or any successor entity, were to determine that their collaborations with us are no longer a strategic priority, or if either of them or a successor were to reduce their level of commitment to their collaborations with us, our ability to profit from the commercialization of roxadustat could suffer.</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instance, the collaboration agreement between the Company and AstraZeneca, effective as of July 2013, for the development and commercialization of roxadustat for the treatment of anemia in the U.S. and all other countries in the world, other than China, not previously licensed to Astellas (the “AstraZeneca U.S./RoW Agreement”) was terminated on February 25, 2024 as amended and restated on August 29, 2025 (except for South Korea). Our collaboration agreement with AstraZeneca for the development and commercialization of roxadustat for the treatment of anemia in China (the “AstraZeneca China Agreement”) culminated as a result of the completion of the sale of FibroGen International and its subsidiaries pursuant to the share purchase agreement entered into by the Company and AstraZeneca Treasury Limited on February 20, 2025, as amended on August 29, 2025 (the “Share Purchase Agreement”). This eliminates any additional potential milestones or other payments AstraZeneca could have made under the AstraZeneca U.S./RoW Agreement or the AstraZeneca China Agreement. And while we are now investigating new licensing opportunities for roxadustat, there can be no assurance that we will find such a partner or be able to agree to a license on reasonable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if our collaboration partners are unsuccessful in their commercialization efforts (particularly in Europe), our results will be negatively affected.</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20"/>
        <w:spacing w:after="0" w:line="254" w:lineRule="auto"/>
        <w:rPr>
          <w:sz w:val="20"/>
          <w:szCs w:val="20"/>
          <w:color w:val="auto"/>
        </w:rPr>
      </w:pPr>
      <w:r>
        <w:rPr>
          <w:rFonts w:ascii="Times New Roman" w:cs="Times New Roman" w:eastAsia="Times New Roman" w:hAnsi="Times New Roman"/>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Certain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and other institutions and third parties, including the principal investigators and their staff, to carry out our clinical trials, as well as, investigator-sponsored trials in accordance with GCP, clinical protocols, and designs. We also rely on a number of third-party CROs or other third parties to assist in undertaking, managing, monitoring, imaging and testing, and otherwise executing our ongoing clinical trials. We expect to continue to rely on CROs, clinical data management organizations, medical institutions, clinical investigators, and other third parties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cGMP, and good laboratory practices requirements can occur through periodic inspections of trial sponsors, principal investigators, and trial sites.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ensure the quality and accuracy of our data remains uncompromised and reliable, our third-party service providers and clinical investigators or clinical partners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do not have our own operating manufacturing facilities at this time.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Risks arising from our reliance on third-party manufacturers include:</w:t>
      </w:r>
    </w:p>
    <w:p>
      <w:pPr>
        <w:spacing w:after="0" w:line="72" w:lineRule="exact"/>
        <w:rPr>
          <w:sz w:val="20"/>
          <w:szCs w:val="20"/>
          <w:color w:val="auto"/>
        </w:rPr>
      </w:pPr>
    </w:p>
    <w:p>
      <w:pPr>
        <w:ind w:left="520" w:right="1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0" w:name="page31"/>
    <w:bookmarkEnd w:id="30"/>
    <w:p>
      <w:pPr>
        <w:ind w:left="520" w:right="1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actions taken against one of our contract manufacturers for failure to adhere to GMP;</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for Kyntra Bio to meet timing and volume obligations to Astellas or other partners due to insufficient resources.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 Furthermore, premature termination of third-party manufacturers may result in additional cost burden for Kyntra Bio.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shortfalls, delays, or excesses in manufacturing.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other manufacturers in the event that we have to manufacture lower volumes or not at all depending on the results of our clinical trials. We may be subject to payments to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Kyntra Bio.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also be additional delays in importing or exporting products, intermediates, or raw materials between countries.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to date, the lead-time and regulatory approvals required to source from and into countries outside of the U.S. increase the risk of delay and potential shortages of supply.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and exclusively licensed technologies are not adequate, we may not be able to compete effectively in our market.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may be costly, time consuming, and may negatively affect our competitive position.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(in conjunction with our PET imaging agent FG-3180).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certain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As we have experienced in multiple jurisdictions,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520" w:right="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4" w:name="page35"/>
    <w:bookmarkEnd w:id="34"/>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can be a significant problem.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The existence of and any increase in the sales and production of counterfeit pharmaceuticals, or the technological capabilities of counterfeiters, could negatively impact our revenues, brand reputation, business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our product candidates.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our product candidates we may discover, in-license or acquire and seek to develop in the future, will not obtain regulatory approval in any particular jurisdiction or indication.</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5" w:name="page36"/>
    <w:bookmarkEnd w:id="35"/>
    <w:p>
      <w:pPr>
        <w:ind w:right="10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8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spacing w:after="0" w:line="15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Outside the U.S., laws, regulations, and industry standards govern data privacy and security. For example, the European Union’s General Data Protection Regulation (“EU GDPR”) and the United Kingdom’s GDPR impose strict requirements for processing personal data, including health-related information. Specifically, under the EU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Additionally, companies that transfer personal data out of the European Economic Area and the United Kingdom to other jurisdictions are subject to scrutiny from regulators, individual litigants, and activities groups.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utilizing artificial intelligence (“AI”) within our IT platforms and services. However, our competitors might integrate AI faster or more effectively than us, which could put us at a disadvantage. Additionally, if AI helps create content, analyses, or recommendations that turn out to be flawed or biased, or even just perceived that way, it could hurt our business and financial health. AI can also lead to cybersecurity issues, potentially exposing personal data of users. Such incidents could damage our reputation and affect our performance. As AI technology rapidly evolves, and with the possibility of new regulations, we may need additional resources to ensure we use AI responsibly and ethically to avoid unforeseen negative consequences. Governments have passed and are likely to pass additional laws regulating generative AI. Our use of this technology could result in additional compliance costs, regulatory investigations and actions, and lawsuits.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200"/>
        <w:spacing w:after="0" w:line="261"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Preparing for and complying with these obligations requires us to devote resources and may necessitate changes to our services, information technologies, systems, and practices and to those of any third parties that process personal data on our behalf.</w:t>
      </w:r>
    </w:p>
    <w:p>
      <w:pPr>
        <w:spacing w:after="0" w:line="16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restrictions on use of AI tools which may involve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require us to maintain costly compliance programs.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U.S. Foreign Corrupt Practices Act (“FCPA”), anti-bribery and anti-corruption laws in other countries. The implementation and maintenance of compliance programs can be costly and such programs may be difficult to enforce, particularly where reliance on third parties is required.</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it may result in material misstatements in our financial statements.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U.S. healthcare reform may adversely affect our business model.</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Healthcare reform in the U.S. in the future may include changes to Prescription Drug User Fee Act (PDUFA) funding, or other actions that impact FDA programs or personnel funded by user fees. If user fees are cut or eliminated, or if personnel funded by user fees are terminated at FDA, the result could increase uncertainty on review timelines or extend FDA review timelines (e.g., new drug applications, Biologics License Applications), which can result in delays for regulatory action and adversely impact drug development timelines.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improper activities, which could result in significant liability or harm our reputation.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data privacy and security laws protecting personal data;</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 to us.</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or safety laws and regulations, we could incur fines, penalties or other costs.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33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Within the next year, we may face costs from the wind-up of the Cayman Subsidiary (as defined below), and may not receive some of the AZ Holdbacks (as defined below) related to the sale of FibroGen International and its subsidiaries.</w:t>
      </w:r>
    </w:p>
    <w:p>
      <w:pPr>
        <w:spacing w:after="0" w:line="10" w:lineRule="exact"/>
        <w:rPr>
          <w:sz w:val="20"/>
          <w:szCs w:val="20"/>
          <w:color w:val="auto"/>
        </w:rPr>
      </w:pPr>
    </w:p>
    <w:p>
      <w:pPr>
        <w:ind w:right="100"/>
        <w:spacing w:after="0" w:line="224" w:lineRule="exact"/>
        <w:rPr>
          <w:sz w:val="20"/>
          <w:szCs w:val="20"/>
          <w:color w:val="auto"/>
        </w:rPr>
      </w:pPr>
      <w:r>
        <w:rPr>
          <w:rFonts w:ascii="Times New Roman" w:cs="Times New Roman" w:eastAsia="Times New Roman" w:hAnsi="Times New Roman"/>
          <w:sz w:val="18"/>
          <w:szCs w:val="18"/>
          <w:color w:val="auto"/>
        </w:rPr>
        <w:t>As disclosed in our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in February 20, 2025, we agreed to two holdback amounts from the consideration paid by AstraZeneca Treasury Limited (the “AZ Holdbacks”) in connection with the sale of FibroGen International and its subsidiaries. The AZ Holdbacks were subject to specified conditions, potential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indemnification claims, and dispute processes. While we received all of the $6.0 million holdback (plus an additional $0.4 million favorable net cash adjustment), we may not receive all of the $4.0 million remaining AZ holdback. We may not receive some of the second AZ Holdback, the amount may be reduced, and/or the timing of any release may be delayed, including due to claims or issues that are outside our control. In addition, there is a possibility that liabilities related to the sale of FibroGen International and its subsidiaries — such as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adjustments, taxes,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or employee claims, product or commercial liabilities, compliance matters, or other indemnifiable losses—could exceed the AZ Holdback or fall outside its scope.</w:t>
      </w:r>
    </w:p>
    <w:p>
      <w:pPr>
        <w:spacing w:after="0" w:line="198"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After the final AZ Holdback is received or finalized, we are planning on winding up FibroGen International (Cayman) Limited (the “Cayman Subsidiary”). The wind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involves legal, regulatory, tax, accounting, and administrative steps. The timing, cost, and outcome of these steps are uncertain and may be impacted by claims or demands from stakeholders, which could require us to establish or increase reserves, provide additional documentation, or engage in dispute resolution or litigation. Any of these issues could delay any further distributions to shareholders of the Cayman Subsidiary and require additional management attention.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China relations, as well as relations with other countries, and/or regulations may adversely impact our business.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have led to changes to U.S. and international relations, and will impact companies with connections to China, including imposing several rounds of tariffs affecting certain products manufactured in China. It is unknown whether and to what extent new legislation, executive orders, tariffs, laws or regulations will be adopted, or the effect that any such actions would have on companies with connections to China. We have business operations in the U.S., and conduct contract manufacturing in both the U.S. and China. Any unfavorable government policies on cross-border relations and/or international trade, including tariffs, may affect the import of products and product components from China. While we have thus far imported products manufactured in China under exemptions from tariffs, if we are unable to do so in the future, the Company could encounter additional costs to supply our product and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party suppliers in China, and there are risks inherent to utilizing third-party manufacturing facilities.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suppliers are obligated to comply with cGMP requirements but there can be no assurance that they will maintain all of the appropriate licenses required to manufacture our product candidates for clinical and commercial use. Our product suppliers must continually spend time, money and effort in production, record-keeping and quality assurance and appropriate controls in order to ensure that any products manufactured in their facilities meet applicable specifications and other requirements for product safety, efficacy and quality but there can be no assurance that their efforts will continue to be successful in meeting these requirements.</w:t>
      </w:r>
    </w:p>
    <w:p>
      <w:pPr>
        <w:spacing w:after="0" w:line="18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National Medical Products Administration and other regulatory authorities. We expect to depend on these facilities for our product candidates, and we do not yet have a secondary source supplier for either roxadustat API. Consequently, we carry single source supplier risk for all countries we or our partners are selling in. Natural disasters or other unanticipated catastrophic events, including power interruptions, water shortages, storms, fires, pandemics, earthquakes, terrorist attacks, government appropriation of our facilities, and wars, could significantly impair our suppliers’ abilities to operate their manufacturing facilities. Certain equipment, records and other materials located in such facilities would be difficult to replace or would require substantial replacement lead-time that would impact our ability to successfully commercialize supply roxadustat API or other clinical products.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of manufacturing disruption due to geopolitical tensions in China and related to U.S. legislation impacting WuXi AppTec, WuXi Biologics, and WuXi XDC.</w:t>
      </w:r>
    </w:p>
    <w:p>
      <w:pPr>
        <w:spacing w:after="0" w:line="5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Wuxi XDC (Hong Kong) Limited (“WuXi XDC”) and companies that do business with WuXi Biologics and WuXi XDC.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 drug conjugate drug substance and antibody drug conjugate drug product at WuXi Biologics and WuXi XDC.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WuXi XDC,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spacing w:after="0" w:line="29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partner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operations in Japan and Europe, which could adversely affect our financial performance.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with two lead product candidates in clinical development, roxadustat for anemia in lower-risk MDS in the U.S. and elsewhere, and FG-3246 (in conjunction with our PET imaging agent FG-3180) for mCRPC. Most of our revenue generated to date has been based on our collaboration agreements. We continue to incur significant research and development and other expenses related to our ongoing operations. Our loss from continuing operations were $58.2 million and $153.1 million for the year ended December 31, 2025, and 2024, respectively. As of December 31, 2025, we had an accumulated deficit of $1.7 billion. As of December 31, 2025, we had capital resources from cash and cash equivalents of $47.9 million and short-term and long-term investments of $61.3 million. Despite the commercialization efforts of Astellas for roxadustat for the treatment of anemia caused by CKD, we anticipate we will continue to incur losses on an annual basis for the foreseeable future. Furthermore, due to the sale of FibroGen International to AstraZeneca Treasury Limited, we will not be due any royalty, development or milestone payments under the AstraZeneca China Agreement.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our clinical development efforts.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(the “RIFA”) with NQ Project Phoebus, L.P. (“NovaQuest”), which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we are unable to obtain funding, we could delay, reduce or eliminate research and development programs, product portfolio development or future commercialization efforts which could adversely affect our business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an impairment of our long-lived assets, which could adversely affect our financial performance.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spacing w:after="0" w:line="287"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non-dilutive transaction with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spacing w:after="0" w:line="6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November 2022, we entered into a $50 million RIFA financing with NovaQuest with respect to our revenues from Astellas’ sales of roxadustat in Europe, Japan and the other Astellas territories.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material inducement for NovaQuest to enter into the RIFA, we granted NovaQuest a security interest over our rights, title and interest in and to the revenue interest payments and intellectual property related to roxadustat and the Astellas territories.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the RIFA includes customary reporting obligations and events of default by us. Upon the occurrence of an event of default, NovaQuest may exercise all remedies available to it at law or in equity in respect of the security interest.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details about this financing transaction, see Note 9,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consolidated financial statements.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obligations under this financing transaction could have significant negative consequences for our shareholders, and our business, results of operations and financial condition by, among other things:</w:t>
      </w:r>
    </w:p>
    <w:p>
      <w:pPr>
        <w:spacing w:after="0" w:line="54"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non-dilutive financing or enter into collaboration or partnership agreements of a certain size;</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8"/>
          <w:szCs w:val="18"/>
          <w:color w:val="auto"/>
        </w:rPr>
        <w:t>Our ability to comply with the above covenants may be affected by events beyond our control, and future breaches of any of the covenants could result in a default under the RIFA, or any future financing agreements. If not waived, future defaults could cause all of the outstanding indebtedness under either financing transaction to become immediately due and payable and NovaQuest could seek to enforce their security interest in assets that secure such indebtedness.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the extent we incur additional debt, the risks described above could increase. Any of the above risks would negatively impact our ability to operate our business and obtain additional debt or equity financing on favorable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Legal proceedings, regardless of their merits or their ultimate outcomes, are costly, divert management’s attention and may materially adversely affect our business, results of operations, financial condition, prospects, and stock price. Such costs may include indemnification for proceedings against our current or former officers, and there is one ongoing proceeding against a former officer where costs could be material but are uncertain at this time. 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have to limit commercial operations.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product withdrawals or labeling restrictions;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4" w:name="page45"/>
    <w:bookmarkEnd w:id="44"/>
    <w:p>
      <w:pPr>
        <w:ind w:right="80"/>
        <w:spacing w:after="0" w:line="255" w:lineRule="auto"/>
        <w:rPr>
          <w:sz w:val="20"/>
          <w:szCs w:val="20"/>
          <w:color w:val="auto"/>
        </w:rPr>
      </w:pPr>
      <w:r>
        <w:rPr>
          <w:rFonts w:ascii="Times New Roman" w:cs="Times New Roman" w:eastAsia="Times New Roman" w:hAnsi="Times New Roman"/>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3"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231F20"/>
        </w:rPr>
        <w:t xml:space="preserve">In particular, severe ransomware attacks are becoming increasingly prevalent and can lead to significant interruptions in our operations, loss of </w:t>
      </w:r>
      <w:r>
        <w:rPr>
          <w:rFonts w:ascii="Times New Roman" w:cs="Times New Roman" w:eastAsia="Times New Roman" w:hAnsi="Times New Roman"/>
          <w:sz w:val="18"/>
          <w:szCs w:val="18"/>
          <w:color w:val="000000"/>
        </w:rPr>
        <w:t xml:space="preserve">confidential, proprietary, and </w:t>
      </w:r>
      <w:r>
        <w:rPr>
          <w:rFonts w:ascii="Times New Roman" w:cs="Times New Roman" w:eastAsia="Times New Roman" w:hAnsi="Times New Roman"/>
          <w:sz w:val="18"/>
          <w:szCs w:val="18"/>
          <w:color w:val="231F20"/>
        </w:rPr>
        <w:t>sensitive data and income, reputational harm, and diversion of funds. While it is possible that extortion payments may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alleviate the negative impact of a ransomware attack, we may be unwilling or unable to make such payments.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w:t>
      </w:r>
      <w:r>
        <w:rPr>
          <w:rFonts w:ascii="Times New Roman" w:cs="Times New Roman" w:eastAsia="Times New Roman" w:hAnsi="Times New Roman"/>
          <w:sz w:val="18"/>
          <w:szCs w:val="18"/>
          <w:color w:val="231F20"/>
        </w:rPr>
        <w:t>If our third-party service providers experience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183"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file timely public reports and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third party service providers may be exposed to natural disasters and other catastrophes.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third party service, cloud and software-as-a-services (SaaS) platform providers, who we rely on for critical support functions, may be exposed to significant risks from natural disasters and other catastrophic events, including earthquakes, power outages, and unforeseen disruptions. Many of these providers are in regions prone to earthquakes and fires, such as the San Francisco Bay Area. These risks could severely impact their operations, infrastructures, or abilities to deliver services, which could in turn disrupt our business continuity and have a material adverse effect on our operations and financial results. Although we have conducted comprehensive risk assessments, the vulnerability of our third-party partners to these events remains a significant risk, particularly as many operate from single sites with limited disaster recovery capabilities. Their inability to recover promptly from such events could result in service delays or interruptions, leading to operational challenges, and increased costs for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at times experienced price volatility and may continue to be volatile. For example, during the 12-month period ended December 31, 2025, the closing price of our common stock on the Nasdaq Global Select Market has ranged from $5.16 per share to $19.30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9"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 as well as, investigator-sponsored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 and</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47" w:name="page48"/>
    <w:bookmarkEnd w:id="47"/>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us may make our common stock less attractive to investors.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and we are therefore eligible for certain provisions of the Exchange Act, including only being required to provide two years of audited financial statements and reduced disclosure obligations regarding executive compensation in our periodic reports and proxy statements. If some investors find our common shares less attractive as a result of our reliance on these reduced disclosure obligations, there may be a less active trading market for our common shares and our price of our common shares may be more volatile.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dilute stockholders and harm our business.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6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3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5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left="520" w:right="3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tax regulations in the U.S. and other jurisdictions in which we operate are extremely complex and subject to change. Changes in tax regulations could have an adverse effect on our results of operations and financial condition. On July 4, 2025, the One Big Beautiful Bill Act was signed into law in the U.S. which contains a broad range of tax reform provisions affecting businesses. We are still in the process of evaluating the legislation and an estimate of the financial impact cannot be made at this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160"/>
        <w:spacing w:after="0" w:line="253" w:lineRule="auto"/>
        <w:rPr>
          <w:sz w:val="20"/>
          <w:szCs w:val="20"/>
          <w:color w:val="auto"/>
        </w:rPr>
      </w:pPr>
      <w:r>
        <w:rPr>
          <w:rFonts w:ascii="Times New Roman" w:cs="Times New Roman" w:eastAsia="Times New Roman" w:hAnsi="Times New Roman"/>
          <w:sz w:val="18"/>
          <w:szCs w:val="18"/>
          <w:color w:val="auto"/>
        </w:rPr>
        <w:t>Federal and state tax laws impose substantial restrictions on the utilization of net operating loss and credit carryforwards in the event of an “ownership change” for tax purposes, as defined in IRC Section 382. We would undergo an ownership change if, among other things, the stockholders who own, directly or indirectly, 5% or more of our common stock, or are otherwise treated as “5% shareholders” under Section 382 of the U.S. Internal Revenue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In the event of an ownership change, Section 382 of the U.S. Internal Revenue Code imposes an annual limitation on the amount of taxable income a corporation may offset with NOL carryforwards. The annual limitation is generally equal to the value of the stock of the corporation immediately before the ownership change, multiplied by the long-term tax-exempt rate for the month in which the ownership change occurs (the long-term tax-exempt rate for March 2015 is 2.67%). Any unused annual limitation may generally be carried over to later years until the NOL carryforwards expire. The Company performed an IRC Section 382 analysis and do not believe there were ownership changes as of December 31, 2024. Thus, IRC Section 382 will not limit the use of our net operating loss and tax credit carryforwards. We continue to monitor trading activities in our shares which could cause ownership change in future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or other trade policy changes could harm our business.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Changes in trade policies, tariffs, and geopolitical tensions may impact our business, supply chain, and costs of operations. Governments worldwide, including the U.S. and key trade partners like China, have imposed and may continue to impose tariffs, export controls, trade restrictions, and other measures that could impact our supply chain and our costs of doing business. If we are impacted by the changing trade relations between the U.S. and other countries, our business and results of operations may be negatively impacted.</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This may require significant additional costs associated with resolving such action in other jurisdictions and there can be no assurance that the provisions will be enforced by a court in those other jurisdictions.</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plan to pay dividends. Capital appreciation will be your sole possible source of gain, which may never occur.</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or our share price could be negatively affected as a result of shareholder proposals or actions.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Kyntra Bio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and Responsibilities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Board of Directors recognizes that cybersecurity represents an important component of the Company's overall enterprise risk management (“ERM”). Throughout the year, our Board of Directors and its Committees engage with management to discuss and mitigate a wide range of enterprise risks, including cybersecurity.</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seek to mitigate cybersecurity risks through a cross-functional approach, including our Cybersecurity Committee, focused on preserving the confidentiality, security, and availability of the information that the Company collects and stores by identifying, preventing and mitigating cybersecurity threats and effectively responding to and remediating cybersecurity incidents as and if they occur.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Cybersecurity Committee is comprised of information technology, finance, legal, human resources and data privacy employees. It meets regularly to review and oversee the Company’s data security programs, policies, and strategies, including with respect to cybersecurity risk mitigation, business continuity, and business resiliency. Our Cybersecurity Committee (along with the Chief Financial Officer and General Counsel) also reviews, analyzes, and responds to cybersecurity incidents and breaches.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Audit Committee of the Board of Directors has the responsibility to review and discuss with management the Company’s guidelines, policies, and governance with respect to financial risk exposures and ERM (including with respect to cybersecurity) and to regularly report to the full Board. Our Audit Committee also oversees our internal audit department and management’s internal controls over financial reporting, including with respect to cybersecurity. Our Audit Committee receives regular presentations and reports on cybersecurity risks, progress on continued updates to the Company’s cybersecurity procedures, as well as is made aware, on a timely basis, of any cybersecurity incidents deemed significant enough to be raised to their attention by management, as well as ongoing updates regarding any such incident until it has been remediated.</w:t>
      </w:r>
    </w:p>
    <w:p>
      <w:pPr>
        <w:spacing w:after="0" w:line="18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Our head of Information Technology (“IT”) oversees overall cybersecurity management and implements our cybersecurity programs with the IT group, including appropriate risk mitigation strategies, systems, processes, and controls and provides periodic reports to our Audit Committee at least semi-annually. The head of IT holds a Masters in Computer Information Systems and a Bachelor of Science degree in Microbiology, and has served in leadership roles within the pharmaceutical and biotechnology industries for over 25 years, including leading enterprise-wide cybersecurity strategies, regulatory compliance programs, and IT transformation initiatives at leading biopharmaceutical companies. The head of IT has expertise spanning cybersecurity governance, risk management, cloud security, AI-driven cybersecurity enhancements, infrastructure modernization, and enterprise-wide IT resilience. The head of IT plays a key role in aligning cybersecurity frameworks with industry regulations such as SOC compliance, SOX, GxP, and data privacy standards, ensuring a secure and compliant IT environment to support business objectives.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periodically assess and test our cybersecurity procedures. We identify and assess material risks from cybersecurity threats by engaging outside advisors and experts to identify, anticipate, and assess future threats and trends, to perform assessments on our cybersecurity risk and measures to mitigate such risk, including information security maturity assessments of our information security control environment. The results of such assessments and reviews are reported as appropriate to the Cybersecurity Committee and Audit Committee, and we adjust our cybersecurity procedures as necessary based on the information provided by these assessments and reviews.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Technical Safeguards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continually invest in information and cybersecurity services and technologies. Technical safeguards are designed to protect the Company's information systems from cybersecurity threats, including firewalls, continuous intrusion detection and response system(s), data leak prevention strategies, enhanced email protection software, antimalware functionality and access controls. These safeguards are evaluated and improved through periodic assessments and review of cybersecurity threat intelligence. We rely on third parties to support its cybersecurity program, including but not limited to email security management, security operations and vulnerability management.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 Response and Recovery Planning</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incident response and data recovery plans that address our response to a cybersecurity incident. Our Cybersecurity Committee and members of the Cyber Security Incident Response Team (which contains additional information technology specialists) regularly test and evaluate the effectiveness of these incident response and data recovery plans. In addition to the incident detection safeguards described above, our cybersecurity policy requires employees and third party vendors to report any and all cybersecurity incidents to our IT department.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 Management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maintain a risk-based approach to identifying and overseeing cybersecurity risks presented by third parties, including vendors, service providers and other external users of the Company’s systems, as well as the systems of third parties that could materially impact our business in the event of a cybersecurity incident affecting those third-party systems. Depending on the nature of the services provided, we may conduct different amounts of diligence into the cybersecurity practices of the third party, monitor the third party for cybersecurity issues, and impose contractual obligations relating to privacy and cybersecurity onto the third party.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provide regular (at least annual) training for personnel regarding cybersecurity threats to equip our personnel with effective tools to address cybersecurity threats, and to communicate the Company's evolving information security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Cybersecurity Risk Posture</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an additional description of the risks from cybersecurity threats that may materially affect the Company, see “Risk Factors” in this Annual Report on Form 10-K, including “ 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do not own or lease any physical properties. We currently operate in a fully remote environment, which we believe, combined with contracted services, is sufficient for our operations.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legal proceedings in our consolidated balance sheet as of December 31, 2025, as we could not predict the ultimate outcome of these matters, or reasonably estimate any possible loss or range of loss. For a discussion of our legal proceedings, 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(“Nasdaq”) since November 14, 2014, formerly under the symbol “FGEN.” On January 8, 2026, the Company’s common stock began trading under the new trading symbol “KYNB” following the name change of the Company from “FibroGen, Inc.” to “Kyntra Bio, Inc.” Prior to our initial public offering, there was no public market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February 28, 2026, there were 80 registered stockholders of record for our common stock. This number of registered stockholders does not include stockholders whose shares are held in street names by brokers and other nominees, or may be held in trust by other entities. Therefore, the actual number of stockholders is greater than this number of registered stockholders of record.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and other financial information included in Item 8 of this Annual Report on Form 10-K for the year ended December 31, 2025 (“Annual Report”).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“Forward-Looking Statements” and ““Risk Factors” sections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Unless noted otherwise, this management’s discussion and analysis relates solely to our continuing operations and does not reflect the operations results of FibroGen International (defined below), which is reflected as discontinued operations in our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Kyntra Bio, Inc. (“Kyntra Bio” or “we”) is a biopharmaceutical company focused on development of novel therapies at the frontiers of cancer biology and anemia.</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January 2026, we announced our rebranding from “FibroGen, Inc.” to “Kyntra Bio, Inc.”, representing the next step of its transformation and focus on oncology and associated rare disease indications. On January 8, 2026, our common stock began trading under the new Nasdaq symbol “KYNB.”</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are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We initiated a Phase 2 monotherapy dose optimization study of FG-3246 for the treatment of mCRPC, along with the exploratory sub-study of FG-3180, in the third quarter of 2025.</w:t>
      </w:r>
    </w:p>
    <w:p>
      <w:pPr>
        <w:spacing w:after="0" w:line="187"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7"/>
          <w:szCs w:val="17"/>
          <w:color w:val="auto"/>
        </w:rPr>
        <w:t>We and our collaboration partners developed roxadustat (</w:t>
      </w:r>
      <w:r>
        <w:rPr>
          <w:rFonts w:ascii="SimSun" w:cs="SimSun" w:eastAsia="SimSun" w:hAnsi="SimSun"/>
          <w:sz w:val="17"/>
          <w:szCs w:val="17"/>
          <w:color w:val="auto"/>
        </w:rPr>
        <w:t>爱瑞卓</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EVRENZO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which is currently approved in Europe, Japan, the People’s Republic of China (“China”), and numerous other countries for the treatment of anemia in chronic kidney disease (“CKD”) patients on dialysis and not on dialysis.</w:t>
      </w:r>
    </w:p>
    <w:p>
      <w:pPr>
        <w:spacing w:after="0" w:line="1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29, 2025, we closed the sale of our China operations through FibroGen International (Hong Kong) Ltd. (“FibroGen International”) to AstraZeneca Treasury Limited pursuant to the share purchase agreement entered into with AstraZeneca Treasury Limited on February 20, 2025, as amended (the “Share Purchase Agreement”) for a total consideration of $220.4 million comprised of $85.0 million in enterprise value and $135.4 million in net cash held in China. AstraZeneca AB (“AstraZeneca”) was our long-time commercialization partner for roxadustat in greater China. This sale included all of our roxadustat assets in China, including FibroGen International’s subsidiary FibroGen (China) Medical Technology Development Co., Ltd. (“FibroGen Beijing”) and its 51.1% interest in Beijing Falikang Pharmaceutical Co. Ltd. (“Falikang”).</w:t>
      </w:r>
    </w:p>
    <w:p>
      <w:pPr>
        <w:spacing w:after="0" w:line="18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Kyntra Bio has retained the rights to roxadustat in the United States of America (“U.S.”), Canada, Mexico, and in all markets not held by AstraZeneca or licensed to Astellas Pharma Inc. (“Astellas”).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continue to advance our development plan for roxadustat in anemia associated with lower-risk myelodysplastic syndromes (“MDS”), a high-value indication with significant unmet medical need. We had a positive Type-C meeting with the U.S. Food and Drug Administration (“FDA”) in July 2025 and reached alignment on several elements of our proposed Phase 3 study design for roxadustat in anemia associated with lower-risk MDS, including the starting dose and the patient inclusion criteria. We are starting preparations for the Phase 3 trial, while evaluating internal development and potential partnership opportunities for this late-stage program. We submitted the Phase 3 trial protocol for roxadustat for the treatment of anemia in patients with lower-risk MDS and high transfusion burden to the FDA in December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granted Roxadustat Orphan Drug Designation for the treatment of MDS in December 2025.</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80" w:type="dxa"/>
            <w:vAlign w:val="bottom"/>
            <w:gridSpan w:val="5"/>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1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40" w:type="dxa"/>
            <w:vAlign w:val="bottom"/>
          </w:tcPr>
          <w:p>
            <w:pPr>
              <w:spacing w:after="0"/>
              <w:rPr>
                <w:sz w:val="18"/>
                <w:szCs w:val="18"/>
                <w:color w:val="auto"/>
              </w:rPr>
            </w:pPr>
          </w:p>
        </w:tc>
        <w:tc>
          <w:tcPr>
            <w:tcW w:w="132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180,037</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(58,204)</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(153,098)</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per share - basic and diluted</w:t>
            </w:r>
          </w:p>
        </w:tc>
        <w:tc>
          <w:tcPr>
            <w:tcW w:w="246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(14.40)</w:t>
            </w:r>
          </w:p>
        </w:tc>
        <w:tc>
          <w:tcPr>
            <w:tcW w:w="13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(38.26)</w:t>
            </w:r>
          </w:p>
        </w:tc>
      </w:tr>
    </w:tbl>
    <w:p>
      <w:pPr>
        <w:spacing w:after="0" w:line="200"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4"/>
        </w:trPr>
        <w:tc>
          <w:tcPr>
            <w:tcW w:w="260" w:type="dxa"/>
            <w:vAlign w:val="bottom"/>
          </w:tcPr>
          <w:p>
            <w:pPr>
              <w:spacing w:after="0"/>
              <w:rPr>
                <w:sz w:val="15"/>
                <w:szCs w:val="15"/>
                <w:color w:val="auto"/>
              </w:rPr>
            </w:pPr>
          </w:p>
        </w:tc>
        <w:tc>
          <w:tcPr>
            <w:tcW w:w="17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640" w:type="dxa"/>
            <w:vAlign w:val="bottom"/>
          </w:tcPr>
          <w:p>
            <w:pPr>
              <w:spacing w:after="0"/>
              <w:rPr>
                <w:sz w:val="15"/>
                <w:szCs w:val="15"/>
                <w:color w:val="auto"/>
              </w:rPr>
            </w:pPr>
          </w:p>
        </w:tc>
      </w:tr>
      <w:tr>
        <w:trPr>
          <w:trHeight w:val="372"/>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47,872</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50,482</w:t>
            </w:r>
          </w:p>
        </w:tc>
      </w:tr>
      <w:tr>
        <w:trPr>
          <w:trHeight w:val="216"/>
        </w:trPr>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-685165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-410845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-136525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180" w:space="720"/>
            <w:col w:w="4340"/>
          </w:cols>
          <w:pgMar w:left="320" w:top="1305" w:right="339" w:bottom="1440" w:gutter="0" w:footer="0" w:header="0"/>
          <w:type w:val="continuous"/>
        </w:sect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revenue for the year ended December 31, 2025 primarily included $5.8 million of drug product revenue from commercial-grade active pharmaceutical ingredient (“API”) or bulk drug product sales to Astellas.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comparison, our revenue for the year ended December 31, 2024 primarily included the revenues recognized related to the following:</w:t>
      </w:r>
    </w:p>
    <w:p>
      <w:pPr>
        <w:spacing w:after="0" w:line="117" w:lineRule="exact"/>
        <w:rPr>
          <w:sz w:val="20"/>
          <w:szCs w:val="20"/>
          <w:color w:val="auto"/>
        </w:rPr>
      </w:pPr>
    </w:p>
    <w:p>
      <w:pPr>
        <w:ind w:left="520" w:right="1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 million cumulative catch-up net adjustment in the drug product revenue, as a result of terminating the AstraZeneca U.S./RoW Agreement (as defined below), effective as of February 25, 2024 as amended and restated on August 29, 2025 (“AstraZeneca Termination and Transition Agreement”), with the exception of South Korea.</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drug product revenue related to API deliveries to Astellas;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of development revenue recognized under our collaboration agreements with our partners Astellas and AstraZeneca.</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operating costs and expenses decreased $127.7 million for the year ended December 31, 2025 compared to the prior year as a result of the net effect of the following:</w:t>
      </w:r>
    </w:p>
    <w:p>
      <w:pPr>
        <w:spacing w:after="0" w:line="54" w:lineRule="exact"/>
        <w:rPr>
          <w:sz w:val="20"/>
          <w:szCs w:val="20"/>
          <w:color w:val="auto"/>
        </w:rPr>
      </w:pPr>
    </w:p>
    <w:p>
      <w:pPr>
        <w:ind w:left="520" w:right="1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 million lower employee-related expenses primarily due to the impact from reduction in force actions in August 2024 and July 2023, and cost control efforts;</w:t>
      </w:r>
    </w:p>
    <w:p>
      <w:pPr>
        <w:spacing w:after="0" w:line="53" w:lineRule="exact"/>
        <w:rPr>
          <w:rFonts w:ascii="Times New Roman" w:cs="Times New Roman" w:eastAsia="Times New Roman" w:hAnsi="Times New Roman"/>
          <w:sz w:val="18"/>
          <w:szCs w:val="18"/>
          <w:color w:val="auto"/>
        </w:rPr>
      </w:pPr>
    </w:p>
    <w:p>
      <w:pPr>
        <w:ind w:left="520" w:right="80" w:hanging="512"/>
        <w:spacing w:after="0" w:line="312" w:lineRule="auto"/>
        <w:tabs>
          <w:tab w:leader="none" w:pos="5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$23.8 million lower facilities-related expenses due to cost control efforts and lower depreciation expense as certain property and equipment reached their useful lives in prior year period, offset by the loss on disposal of property and equipment associated with efforts to streamline operations;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 million restructuring charge related to the reduction in force plan in August 2024 recorded in prior year, which did not recur in 2025;</w:t>
      </w:r>
    </w:p>
    <w:p>
      <w:pPr>
        <w:spacing w:after="0" w:line="117"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million lower stock-based compensation primarily resulting from significantly lower stock price and cancellations of stock options and restricted stock units due to reduced headcount;</w:t>
      </w:r>
    </w:p>
    <w:p>
      <w:pPr>
        <w:spacing w:after="0" w:line="53"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 million lower clinical trial expenses primarily associated with the termination of pamrevlumab programs during the second half of 2024 responding to the topline clinical data results we reported in July 2024;</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cost of goods sold corresponding to the drug product revenue resulting from the AstraZeneca Termination and Transition Agreement in 2024 related to the AstraZeneca U.S./RoW Agreement (as defined below), which did not recur in 2025; and</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lower drug development expenses associated with drug substance activities and logistic expenses related to pamrevlumab programs which were completed and terminated.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were $23.5 million and $95.7 million for the years ended December 31, 2025 and 2024, respectively. Since inception and through December 31, 2025, we have incurred a total of approximately $3.3 billion in research and development expenses, a majority of which relates to the development of roxadustat, pamrevlumab, FG-3246 and other hypoxia-inducible factor prolyl hydroxylase inhibitors. We expect to incur significant expenses and operating losses over at least the next few years as we continue to make investments in research and development to advance our current product candidate portfolio. We consider the active management and development of our clinical pipeline to be particularly crucial to our long-term success. The process of conducting the necessary clinical research to obtain regulatory approval is costly and time consuming. We implemented cost reduction efforts in 2024 in connection with our efforts to streamline operations to align with our business goals. As a result, operating expenses have decreased and may continue to decrease in certain areas over time.</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had a loss from continuing operations of $58.2 million or loss from continuing operations per basic and diluted share of $14.40, as compared to a loss from continuing operations of $153.1 million, or loss from continuing operations per basic and diluted share of $38.26 for the prior year, primarily due to a decrease in operating costs and expenses, offset by a decrease in revenues.</w:t>
      </w:r>
    </w:p>
    <w:p>
      <w:pPr>
        <w:spacing w:after="0" w:line="17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 xml:space="preserve">Consolidated cash and cash equivalents, investments and accounts receivable totaled $109.4 million at December 31, 2025, an increase of $58.4 million from December 31, 2024. Upon the the close of our sale of FibroGen International to AstraZeneca Treasury Limited during the third quarter of 2025, we accessed the entirety of our cash and cash equivalents held in China. For additional details, refer to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xml:space="preserve"> to the consolidated financial statement, and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section below. Comparatively, consolidated cash and cash equivalents and accounts receivable for both continuing operations and discontinued operations totaled $121.1 million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Our current and future research, development, manufacturing and commercialization efforts with respect to roxadustat depend on funds from our collaboration agreements with Astellas and AstraZeneca. See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the consolidated financial statements for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the development and commercialization (but not manufacture) of roxadustat for the treatment of anemia in Japan (“Astellas Japan Agreement”). In April 2006, we entered into the Europe Agreement with Astellas for roxadustat for the treatment of anemia in Europe, the Commonwealth of Independent States, the Middle East, and South Africa (“Astellas Europe Agreement”). Under these agreements, the aggregate amount for upfront payments and milestone payments received through December 31, 2025 totals $790.1 million. Based on the current development plans for roxadustat in Japan and Europe, we do not expect to receive most or all of the additional potential milestones under the Astellas Japan Agreement or the Astellas Europe Agreement.</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2018, we and Astellas entered into an amendment to the Astellas Japan Agreement that allows Astellas to manufacture roxadustat drug product for commercialization in Japan (the “Astellas Japan Amendment”). The related drug product revenue was $0.8 million and $(2.9) million for the years ended December 31, 2025 and 2024, respectively.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first quarter of 2021, we entered into an EU Supply Agreement with Astellas under the Astellas Europe Agreement to define general forecast, order, supply and payment terms for Astellas to purchase roxadustat bulk drug product from us in support of commercial supplies (the “Astellas EU Supply Agreement”). The related drug product revenue was $5.1 million and $4.9 million for the years ended December 31,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July 2013, we entered into a collaboration agreement with AstraZeneca for roxadustat for the treatment of anemia in the U.S. and all territories except for China and those territories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Kyntra Bio in support of commercial supplies.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ind w:right="40"/>
        <w:spacing w:after="0" w:line="254" w:lineRule="auto"/>
        <w:rPr>
          <w:sz w:val="20"/>
          <w:szCs w:val="20"/>
          <w:color w:val="auto"/>
        </w:rPr>
      </w:pPr>
      <w:r>
        <w:rPr>
          <w:rFonts w:ascii="Times New Roman" w:cs="Times New Roman" w:eastAsia="Times New Roman" w:hAnsi="Times New Roman"/>
          <w:sz w:val="18"/>
          <w:szCs w:val="18"/>
          <w:color w:val="auto"/>
        </w:rPr>
        <w:t>In February 2024, we entered into an agreement to terminate the AstraZeneca U.S./RoW Agreement with AstraZeneca, as amended and restated on August 29, 2025. Pursuant to the AstraZeneca Termination and Transition Agreement, AstraZeneca returns all of their non-China roxadustat rights to us, with the exception of South Korea, and provides certain assistance during a transition period. In addition, as a part of this AstraZeneca Termination and Transition Agreement, AstraZeneca will receive tiered mid-single digit royalties on Kyntra Bio’s sales of roxadustat in the terminated territories, or thirty-five percent of all revenue Kyntra Bio receives if it licenses or sells such rights to a third-party. Neither party incurred any early termination penalties. The aggregate amount of consideration for milestone and upfront payments received under the AstraZeneca U.S./RoW Agreement through the termination totaled $439.0 million. In addition, resulting from the AstraZeneca Termination and Transition Agreement, Kyntra Bio and AstraZeneca settled the outstanding balances relating to past transactions under the AstraZeneca Master Supply Agreement. Accordingly, during the first quarter of 2024, we recorded a cumulative catch-up net adjustment of $25.7 million to the drug product revenue.</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July 2013, through our China subsidiary and related affiliates, we entered into a collaboration agreement with AstraZeneca for roxadustat for the treatment of anemia in China (the “AstraZeneca China Agreement”). The aggregate amount for upfront payments and milestone payments received through December 31, 2025 totals $81.2 million.</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On August 29, 2025, we closed the sale of our China operations through FibroGen International to AstraZeneca Treasury Limited pursuant to the Share Purchase Agreement. For additional details, refer to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xml:space="preserve"> to the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Amendment</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2020, FibroGen China and AstraZeneca (together with FibroGen China, the “Parties”) entered into an amendment, effective July 1, 2020,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 sales and marketing through AstraZeneca.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accounted for our investment in Falikang under the equity method, and Falikang was not consolidated into our consolidated financial statements. Our proportionate share of the reported profits or losses of Falikang, was included in the discontinued operations in the consolidated statement of operations, and the investment in unconsolidated subsidiary is included the held for sale assets in the consolidated balance sheet as of December 31, 2024. See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to the consolidated financial statements for details.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Product revenue, net, which was included in the discontinued operations, consisted primarily of revenues from sales of roxadustat commercial product to Falikang.</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Substantially all direct roxadustat product sales to distributors in China were made by Falikang, while FibroGen Beijing continues to sell roxadustat product directly in limited areas in China. FibroGen Beijing manufactures and supplies commercial product to Falikang, based on a gross transaction price, adjusted for the estimated profit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revenue upon the transfer of control of commercial products to Falikang in an amount that reflected the allocation of transaction price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manufacturing and supply obligation (“China Performance Obligation”) to the performance obligation satisfied during the reporting period.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sales of commercial drug product, we recognized revenue when control of the promised good was transferred to the customer in an amount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reflected the consideration that we expected to be entitled to in exchange for the product. As discussed in Note 3, </w:t>
      </w:r>
      <w:r>
        <w:rPr>
          <w:rFonts w:ascii="Times New Roman" w:cs="Times New Roman" w:eastAsia="Times New Roman" w:hAnsi="Times New Roman"/>
          <w:sz w:val="18"/>
          <w:szCs w:val="18"/>
          <w:i w:val="1"/>
          <w:iCs w:val="1"/>
          <w:color w:val="auto"/>
        </w:rPr>
        <w:t>Discontinued Operations and Divestiture,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consolidated financial statements, the divestiture of FibroGen International was completed on August 29, 2025 and accordingly, the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AstraZeneca was completely satisfied upon the closing of the divestiture. As a result, all the previously deferred revenues were recognized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during the third quarter of 2025. During the years ended December 31, 2025 and 2024, included in the discontinued operations, we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$218.6 million and $159.0 million of net product revenue from the sales to Falikang, and $8.1 million and $14.7 million of net product revenue from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to distributors in one province in China,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with Eluminex</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April 2023, we entered into an Amended and Restated Exclusive License Agreement with Eluminex (“A&amp;R Eluminex Agreement”) in order to add to the license rights to recombinant human collagen Type I (in addition to the rights to collagen Type III that were already licensed).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(1,356)</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(21,825)</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4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0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(23,181)</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 %</w:t>
            </w:r>
          </w:p>
        </w:tc>
      </w:tr>
      <w:tr>
        <w:trPr>
          <w:trHeight w:val="20"/>
        </w:trPr>
        <w:tc>
          <w:tcPr>
            <w:tcW w:w="4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-170815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our revenue recognition policy, development revenue includes co-development and other development related services. We recognize development services as revenue in the period in which they are billed to our partners, excluding China. As of December 31, 2025, we do not expect to incur significant future co-development services. Other revenues consist of contract manufacturing revenue, patent transfer and sales of research and development material, which have not been material for any of the periods presented. Development and other revenues represented 9% and 7% of total revenues for the years ended December 31, 2025 and 2024, respectively.</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activities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Drug product revenues represented 91% and 93% of total revenues for the years ended December 31, 2025 and 2024, respectively.</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AstraZeneca U.S./RoW Agreement was terminated on February 25, 2024 (except for South Korea). On August 29, 2025, we closed the sale of our China operations through FibroGen International to AstraZeneca Treasury Limited pursuant to the Share Purchase Agreement. For additional details, refer to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xml:space="preserve"> to the consolidated financial statements. In the future, we will continue generating revenue from collaboration agreements in the form of milestone payments and royalties on drug product sales. We expect that any revenues we generate will fluctuate from quarter to quarter due to the uncertain timing and amount of such payments and sales.</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Total revenue decreased $23.2 million or 78% for the year ended December 31, 2025 compared to the year ended December 31, 2024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and Other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10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Astellas</w:t>
            </w:r>
          </w:p>
        </w:tc>
        <w:tc>
          <w:tcPr>
            <w:tcW w:w="212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AstraZeneca</w:t>
            </w:r>
          </w:p>
        </w:tc>
        <w:tc>
          <w:tcPr>
            <w:tcW w:w="10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development revenue</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development and other revenue</w:t>
            </w:r>
          </w:p>
        </w:tc>
        <w:tc>
          <w:tcPr>
            <w:tcW w:w="212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color w:val="auto"/>
              </w:rPr>
              <w:t>________________________</w:t>
            </w:r>
          </w:p>
        </w:tc>
        <w:tc>
          <w:tcPr>
            <w:tcW w:w="1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94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-668020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-668020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-668020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-385445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-385445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-385445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Development and other revenue decreased $1.4 million, or 70% for the year ended December 31, 2025 compared to the year ended December 31, 2024, mainly due to the decrease in co-development billings resulting from the closeout activities under our collaboration agreements with Astellas for roxadustat.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Drug Product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78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Drug product revenue, net:</w:t>
            </w:r>
          </w:p>
        </w:tc>
        <w:tc>
          <w:tcPr>
            <w:tcW w:w="10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Astellas Japan Agreement</w:t>
            </w:r>
          </w:p>
        </w:tc>
        <w:tc>
          <w:tcPr>
            <w:tcW w:w="20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0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(25,671)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drug product revenue, net:</w:t>
            </w:r>
          </w:p>
        </w:tc>
        <w:tc>
          <w:tcPr>
            <w:tcW w:w="20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(21,825)</w:t>
            </w:r>
          </w:p>
        </w:tc>
        <w:tc>
          <w:tcPr>
            <w:tcW w:w="13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(79) %</w:t>
            </w:r>
          </w:p>
        </w:tc>
      </w:tr>
      <w:tr>
        <w:trPr>
          <w:trHeight w:val="84"/>
        </w:trPr>
        <w:tc>
          <w:tcPr>
            <w:tcW w:w="3660" w:type="dxa"/>
            <w:vAlign w:val="bottom"/>
            <w:tcBorders>
              <w:top w:val="single" w:sz="8" w:color="CFF0FC"/>
            </w:tcBorders>
          </w:tcPr>
          <w:p>
            <w:pPr>
              <w:spacing w:after="0" w:line="84" w:lineRule="exact"/>
              <w:rPr>
                <w:sz w:val="20"/>
                <w:szCs w:val="20"/>
                <w:color w:val="auto"/>
              </w:rPr>
            </w:pPr>
            <w:r>
              <w:rPr>
                <w:rFonts w:ascii="Times New Roman" w:cs="Times New Roman" w:eastAsia="Times New Roman" w:hAnsi="Times New Roman"/>
                <w:sz w:val="9"/>
                <w:szCs w:val="9"/>
                <w:color w:val="auto"/>
              </w:rPr>
              <w:t>________________________</w:t>
            </w:r>
          </w:p>
        </w:tc>
        <w:tc>
          <w:tcPr>
            <w:tcW w:w="1040" w:type="dxa"/>
            <w:vAlign w:val="bottom"/>
            <w:tcBorders>
              <w:top w:val="single" w:sz="8" w:color="CFF0FC"/>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40" w:type="dxa"/>
            <w:vAlign w:val="bottom"/>
            <w:tcBorders>
              <w:top w:val="single" w:sz="8" w:color="CFF0FC"/>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880" w:type="dxa"/>
            <w:vAlign w:val="bottom"/>
            <w:tcBorders>
              <w:top w:val="single" w:sz="8" w:color="CFF0FC"/>
            </w:tcBorders>
          </w:tcPr>
          <w:p>
            <w:pPr>
              <w:spacing w:after="0"/>
              <w:rPr>
                <w:sz w:val="7"/>
                <w:szCs w:val="7"/>
                <w:color w:val="auto"/>
              </w:rPr>
            </w:pPr>
          </w:p>
        </w:tc>
        <w:tc>
          <w:tcPr>
            <w:tcW w:w="460" w:type="dxa"/>
            <w:vAlign w:val="bottom"/>
            <w:tcBorders>
              <w:top w:val="single" w:sz="8" w:color="CFF0FC"/>
            </w:tcBorders>
          </w:tcPr>
          <w:p>
            <w:pPr>
              <w:spacing w:after="0"/>
              <w:rPr>
                <w:sz w:val="7"/>
                <w:szCs w:val="7"/>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-239395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-222250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-239395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-222250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-239395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-222250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product revenue decreased $21.8 million, or 79% for the year ended December 31, 2025 compared to the year ended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updated our estimate of variable consideration related to the API shipments fulfilled under the terms of Astellas Japan Amendment and accordingly recorded an adjustment to the drug product revenue of $0.8 million for the year ended December 31, 2025.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updated our estimate of variable consideration related to the API shipments fulfilled under the terms of Astellas Japan Amendment and accordingly recorded a reduction to the drug product revenue of $2.9 million for the year ended December 31, 2024.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As of December 31, 2025, the balances related to the API price true-up under the Astellas Japan Agreement were $1.6 million in accrued liabilities, representing our best estimate of the timing for these amounts to be paid. As of December 31, 2024, the related balances were $2.5 million in accrued liabilities and $0.6 million in other long-term liabilities.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2025, we transferred bulk drug product for commercial purposes under the terms of the Astellas Europe Agreement and the Astellas EU Supply Agreement, and recognized the related fully-burdened manufacturing costs of $0.3 million as drug product revenue, and recorded $2.2 million as deferred revenue due to a high degree of uncertainty associated with the variable consideration for revenue recognition purposes. In addition,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2025, we reclassified $1.8 million from the related deferred revenue to accrued liabilities. As of December 31, 2025, the related balance in accrued liabilities was $5.4 million, representing our best estimate that this amount will be paid within the next 12 months.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we transferred bulk drug product for commercial purposes under the terms of the Astellas Europe Agreement and the Astellas EU Supply Agreement, and recognized the related fully-burdened manufacturing costs of $0.6 million as drug product revenue, and recorded $4.4 million as deferred revenue due to a high degree of uncertainty associated with the variable consideration for revenue recognition purposes. In addition,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we reclassified $7.2 million from the related deferred revenue to accrued liabilities. As of December 31, 2024, the related balance in accrued liabilities was $10.5 million, and we paid $7.1 million to Astellas during the year ended December 31, 2025.</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we recognized royalty revenue of $4.8 million and $4.3 million as drug product revenue from the deferred revenue under the Astellas Europe Agreement for the years ended December 31, 2025 and 2024, respectively. The remainder of the deferred revenue will be recognized as and when uncertainty is resolved, based on the performance of roxadustat product sales in the Astellas territory.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described above, pursuant to the AstraZeneca Termination and Transition Agreement related to the AstraZeneca U.S./RoW Agreement, Kyntra Bio and AstraZeneca settled the outstanding balances relating to past transactions under the AstraZeneca Master Supply Agreement. Accordingly, during the first quarter of 2024, we accounted for the termination of the AstraZeneca U.S./RoW Agreement as a contract modification under the ASC 606 and recorded a cumulative catch-up net adjustment of $25.7 million to the drug product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51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r>
      <w:tr>
        <w:trPr>
          <w:trHeight w:val="142"/>
        </w:trPr>
        <w:tc>
          <w:tcPr>
            <w:tcW w:w="5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5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(15,005)</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r>
      <w:tr>
        <w:trPr>
          <w:trHeight w:val="216"/>
        </w:trPr>
        <w:tc>
          <w:tcPr>
            <w:tcW w:w="51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23,517</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95,692</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(72,175)</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27,709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(21,621)</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51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charge</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(18,901)</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r>
      <w:tr>
        <w:trPr>
          <w:trHeight w:val="20"/>
        </w:trPr>
        <w:tc>
          <w:tcPr>
            <w:tcW w:w="514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0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52,335</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180,037</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(127,702)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 %</w:t>
            </w:r>
          </w:p>
        </w:tc>
      </w:tr>
      <w:tr>
        <w:trPr>
          <w:trHeight w:val="20"/>
        </w:trPr>
        <w:tc>
          <w:tcPr>
            <w:tcW w:w="5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$127.7 million, or 71% for the year ended December 31, 2025 compared to the year ended December 31, 2024,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Cost of goods sold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decreased $15.0 million or 96% for the year ended December 31, 2025 compared to the year ended December 31, 2024.</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described above, during the year ended December 31, 2024, we recorded a cumulative catch-up net adjustment to the drug product revenue resulting from the AstraZeneca Termination and Transition Agreement related to the AstraZeneca U.S./RoW Agreement. Correspondingly, we recorded the related cost of goods sold of $14.6 million during the year ended December 31, 2024.</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Cost of goods sold associated with the roxadustat drug product revenue in the U.S. was $0.3 million and $0.8 million for the years ended December 31, 2025 and 2024, respectively, associated with the costs of API or bulk drug product delivered to Astellas and AstraZeneca in the respective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of independent research and development costs and the gross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We have implemented a significant cost reduction plan in the U.S. in the third quarter of 2024. As a result, research and development expenses have overall decreased and may continue to decrease in certain areas over time.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years ended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Phase of</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Product Candidate</w:t>
            </w:r>
          </w:p>
        </w:tc>
        <w:tc>
          <w:tcPr>
            <w:tcW w:w="26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ind w:right="7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
        </w:trPr>
        <w:tc>
          <w:tcPr>
            <w:tcW w:w="4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4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gridSpan w:val="3"/>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FG-3246</w:t>
            </w:r>
          </w:p>
        </w:tc>
        <w:tc>
          <w:tcPr>
            <w:tcW w:w="2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Phase 2</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104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Roxadustat</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Approved / Phase 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Pamrevlumab</w:t>
            </w:r>
          </w:p>
        </w:tc>
        <w:tc>
          <w:tcPr>
            <w:tcW w:w="2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Phase 2/3</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49,696</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3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20" w:type="dxa"/>
            <w:vAlign w:val="bottom"/>
          </w:tcPr>
          <w:p>
            <w:pPr>
              <w:spacing w:after="0"/>
              <w:rPr>
                <w:sz w:val="18"/>
                <w:szCs w:val="18"/>
                <w:color w:val="auto"/>
              </w:rPr>
            </w:pPr>
          </w:p>
        </w:tc>
      </w:tr>
      <w:tr>
        <w:trPr>
          <w:trHeight w:val="249"/>
        </w:trPr>
        <w:tc>
          <w:tcPr>
            <w:tcW w:w="4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CFF0FC"/>
            </w:tcBorders>
            <w:shd w:val="clear" w:color="auto" w:fill="CFF0FC"/>
          </w:tcPr>
          <w:p>
            <w:pPr>
              <w:spacing w:after="0"/>
              <w:rPr>
                <w:sz w:val="21"/>
                <w:szCs w:val="21"/>
                <w:color w:val="auto"/>
              </w:rPr>
            </w:pPr>
          </w:p>
        </w:tc>
        <w:tc>
          <w:tcPr>
            <w:tcW w:w="24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23,517</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95,692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$72.2 million, or 75% for the year ended December 31, 2025 compared to the year ended December 31, 2024 as a result of the net effect of the following:</w:t>
      </w:r>
    </w:p>
    <w:p>
      <w:pPr>
        <w:spacing w:after="0" w:line="54"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$19.2 million in facilities-related expenses due to cost control efforts including the lease termination in the third quarter of 2024;</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$16.9 million in clinical trials costs primarily associated with the termination of pamrevlumab programs during the second half of 2024 responding to the topline clinical data results we reported in July 2024;</w:t>
      </w:r>
    </w:p>
    <w:p>
      <w:pPr>
        <w:spacing w:after="0" w:line="53"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$16.0 million in employee-related costs primarily due to the impact from reduction in force actions in August 2024, and cost control efforts;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$9.7 million in stock-based compensation primarily resulting from significantly lower stock price and cancellations of stock options and restricted stock units due to reduced headcount and terminations; and</w:t>
      </w:r>
    </w:p>
    <w:p>
      <w:pPr>
        <w:spacing w:after="0" w:line="53"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$8.0 million in drug development expenses associated with drug substance activities related to pamrevlumab programs which were completed and terminated.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recruiting fees and expenses associated with obtaining and maintaining patents. We have implemented a significant cost reduction plan in the U.S. in the third quarter of 2024. As a result, SG&amp;A expenses have overall decreased and may continue to decrease over time.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SG&amp;A expenses decreased $21.6 million, or 44% for the year ended December 31, 2025 compared to the year ended December 31, 2024, as a result of the net effect of the following:</w:t>
      </w:r>
    </w:p>
    <w:p>
      <w:pPr>
        <w:spacing w:after="0" w:line="54" w:lineRule="exact"/>
        <w:rPr>
          <w:sz w:val="20"/>
          <w:szCs w:val="20"/>
          <w:color w:val="auto"/>
        </w:rPr>
      </w:pPr>
    </w:p>
    <w:p>
      <w:pPr>
        <w:ind w:left="520" w:right="5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$9.8 million in employee-related costs primarily due to the impact from reduction in force action in August 2024 and cost control efforts due to reduced headcount and terminations;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$7.4 million in stock-based compensation primarily resulting from significantly lower stock price and cancellations of stock options and restricted stock units;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$4.6 million in facilities-related expenses due to cost control efforts including the lease termination in the third quarter of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response to the topline clinical results for pamrevlumab in patients with pancreatic cancer we announced in July 2024, we implemented an immediate and significant cost reduction plan in the U.S., including terminating pamrevlumab research and development investment and expeditiously winding down remaining obligations, and reducing our U.S. workforce by approximately 75%. As a result, we recorded a total of $19.5 million non-recurring restructuring charge during the year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460"/>
        <w:spacing w:after="0" w:line="282" w:lineRule="auto"/>
        <w:rPr>
          <w:sz w:val="20"/>
          <w:szCs w:val="20"/>
          <w:color w:val="auto"/>
        </w:rPr>
      </w:pPr>
      <w:r>
        <w:rPr>
          <w:rFonts w:ascii="Times New Roman" w:cs="Times New Roman" w:eastAsia="Times New Roman" w:hAnsi="Times New Roman"/>
          <w:sz w:val="18"/>
          <w:szCs w:val="18"/>
          <w:color w:val="auto"/>
        </w:rPr>
        <w:t>ended December 31, 2024, primarily consisting of notice period and severance payments, accrued vacation, and employee benefits contributions. The related restructuring charges for the year ended December 31, 2025 were not 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(8,247)</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debt extinguishments</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(6,583)</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5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0"/>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(12,399)</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(2,951)</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(9,448)</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represents the interest associated with the liability related to sale of future revenues and interest related to the Technology Development Center of the Republic of Finland product development obligations.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remained relatively flat for the year ended December 31, 2025 compared to the year ended December 31, 2024, and primarily included interest expense of $8.4 million and $7.9 million, respectively, related to sale of future revenues under a revenue interest financing agreement (the “RIFA”) with NQ Project Phoebus, L.P. (“NovaQuest”) entered into in November 2022. See Note 9,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consolidated financial statements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on Debt Extinguishments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On August 29, 2025, upon the above-mentioned completion of the sale of our China operations through FibroGen International to AstraZeneca Treasury Limited, we paid a total of $80.9 million to Morgan Stanley Tactical Value (“MSTV”), including $75.0 million for paying off the senior secured term loan facilities, $0.4 million for outstanding interest and $5.5 million for related prepayment premium and fees. Accordingly, we recorded a loss on debt extinguishments of $6.6 million for the year ended December 31, 2025. See Note 8,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to the consolidated financial statements for details.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Income and Other Income (Expenses), Net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into the functional currency, realized gains (losses) on sales of investments, and other non-operating income and expenses.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(expenses), net decreased $2.4 million, or 44%, for the year ended December 31, 2025 compared to the year ended December 31, 2024, primarily due to lower interest income resulting from lower investment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from Income Taxes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16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10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(153,367)</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benefits from income taxes for each of the two years ended December 31, 2025 were due to foreign taxes.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380"/>
        <w:spacing w:after="0" w:line="261"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February 20, 2025, we entered into the Share Purchase Agreement with AstraZeneca Treasury Limited pursuant to which we and our subsidiary FibroGen China Anemia Holdings, Ltd. agreed to sell all of the issued and outstanding equity interests of FibroGen International to AstraZeneca Treasury Limited. This sale includes all of our roxadustat assets in China, including FibroGen International’s subsidiary FibroGen Beijing and its 51.1% interest in Falikang. The transaction was closed on August 29, 2025.</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FibroGen International met the “held for sale” criteria and the “discontinued operations” criteria in accordance with Financial Accounting Standard Boards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 of December 31, 2024. Accordingly, the operating results related to FibroGen International are classified as discontinued operations, and have been reflected as discontinued operations in the consolidated statements of operations. See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Upon the close of the sale of FibroGen International and its subsidiaries to AstraZeneca Treasury Limited on August 29, 2025, we received $210.4 million in cash paid at closing, and a total of $10.0 million cash payable by AstraZeneca at the closing subject to holdbacks of: (i) a $6.0 million holdback to offset final net cash adjustments which will be released following a customary adjustment process approximately 90 days post-closing (as such time may be extended for the parties to mutually agree upon final adjustments), and (ii) a $4.0 million holdback to satisfy any indemnity claims, which will be released, net of any claims paid or unresolved, nine months after the closing. On November 6, 2025, we received a $6.4 million payment from AstraZeneca, which is in full satisfaction of the first holdback of $6.0 million, plus $0.4 million that was an additional payment following the final net cash adjustments after closing. See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to the consolidated financial statements for details.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April 2023, we entered into a financing agreement with investment funds managed by MSTV (“Lenders”), and Wilmington Trust, National Association, as the administrative agent, providing for senior secured term loan facilities consisting of a $75.0 million initial term loan. The clinical development milestones which could have triggered Delayed Draw Term Loan 1 were not achieved, and the Lenders have not funded Delayed Draw Term Loan 2. Upon the closing of the sale of FibroGen International and its subsidiaries to AstraZeneca Treasury Limited on August 29, 2025, we repaid our term loan facility with the Lenders. See Note 8,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to the consolidated financial statements for details.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2022, we entered into a RIFA with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9,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consolidated financial statements.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2025, we entered into an Equity Distribution Agreement with BofA Securities, Inc. pursuant to which we may issue and sell, from time to time and through BofA Securities, Inc., shares of our common stock having an aggregate offering price of up to $30.0 million. We did not sell any shares of common stock under this agreement during the year ended December 31, 2025.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right="220"/>
        <w:spacing w:after="0" w:line="261" w:lineRule="auto"/>
        <w:rPr>
          <w:sz w:val="20"/>
          <w:szCs w:val="20"/>
          <w:color w:val="auto"/>
        </w:rPr>
      </w:pPr>
      <w:r>
        <w:rPr>
          <w:rFonts w:ascii="Times New Roman" w:cs="Times New Roman" w:eastAsia="Times New Roman" w:hAnsi="Times New Roman"/>
          <w:sz w:val="18"/>
          <w:szCs w:val="18"/>
          <w:color w:val="auto"/>
        </w:rPr>
        <w:t>Cash and cash equivalents, investments and accounts receivable totaled $109.4 million as of December 31, 2025, compared to $50.5 million as of December 31, 2024. Cash is invested in accordance with our investment policy, primarily with a view to liquidity and capital preservation. Investments, consisting of available-for-sale securities, and stated at fair value, are also available as a source of liquidity. Upon the close of our sale of FibroGen International to AstraZeneca during the third quarter of 2025, we accessed the entirety of our cash and cash equivalents held in China.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years ended December 31, 2025 and 2024 (in thousands), including both continuing operations and discontinued operations: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338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7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(137,999)</w:t>
            </w:r>
          </w:p>
        </w:tc>
      </w:tr>
      <w:tr>
        <w:trPr>
          <w:trHeight w:val="216"/>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125,993</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(86,028)</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(54,306)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(11,510)</w:t>
            </w:r>
          </w:p>
        </w:tc>
      </w:tr>
      <w:tr>
        <w:trPr>
          <w:trHeight w:val="20"/>
        </w:trPr>
        <w:tc>
          <w:tcPr>
            <w:tcW w:w="6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-170815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$4.8 million for the year ended December 31, 2025 and consisted primarily of net income of $183.5 million, adjusted for non-cash items and non-operating activities of $35.2 million and a net decrease in operating assets and liabilities of $153.0 million. The significant non-cash items included gain on divesture of FibroGen International of $52.6 million, loss on debt extinguishments of $6.6 million and stock-based compensation expense of $6.6 million. The significant items in the changes in operating assets and liabilities included the following:</w:t>
      </w:r>
    </w:p>
    <w:p>
      <w:pPr>
        <w:spacing w:after="0" w:line="72" w:lineRule="exact"/>
        <w:rPr>
          <w:sz w:val="20"/>
          <w:szCs w:val="20"/>
          <w:color w:val="auto"/>
        </w:rPr>
      </w:pPr>
    </w:p>
    <w:p>
      <w:pPr>
        <w:ind w:left="520" w:hanging="512"/>
        <w:spacing w:after="0" w:line="26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revenue decreased $136.4 million, due to the recognition of all the previously deferred balance related to our China Performance Obligation under our agreements with AstraZeneca upon the completion of the divestiture of FibroGen International on August 29, 2025, as the performance obligation to AstraZeneca were completely satisfied upon the closing of the divestiture. See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the consolidated financial statements for details;</w:t>
      </w:r>
    </w:p>
    <w:p>
      <w:pPr>
        <w:spacing w:after="0" w:line="71" w:lineRule="exact"/>
        <w:rPr>
          <w:rFonts w:ascii="Times New Roman" w:cs="Times New Roman" w:eastAsia="Times New Roman" w:hAnsi="Times New Roman"/>
          <w:sz w:val="18"/>
          <w:szCs w:val="18"/>
          <w:color w:val="auto"/>
        </w:rPr>
      </w:pPr>
    </w:p>
    <w:p>
      <w:pPr>
        <w:ind w:left="520" w:right="140" w:hanging="512"/>
        <w:spacing w:after="0" w:line="26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$53.5 million, primarily driven by the $28.5 million distribution of litigation settlement related to our agreement in principle with plaintiffs to settle the class action lawsuit, $7.8 million payment of the transaction costs related to the divestiture, $7.3 million total payments of bonus and severance payouts, and $7.1 million payment to Astellas related to accrued API and bulk drug product price true-up. The accrued and other liabilities were also impacted by cost control efforts and the timing of invoicing and payment.</w:t>
      </w:r>
    </w:p>
    <w:p>
      <w:pPr>
        <w:spacing w:after="0" w:line="71"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$27.7 million, primarily driven by the payments made during the current year to AstraZeneca under the settlement agreements entered in September 2024 between FibroGen China and AstraZeneca to settle certain historical items.</w:t>
      </w:r>
    </w:p>
    <w:p>
      <w:pPr>
        <w:spacing w:after="0" w:line="53" w:lineRule="exact"/>
        <w:rPr>
          <w:rFonts w:ascii="Times New Roman" w:cs="Times New Roman" w:eastAsia="Times New Roman" w:hAnsi="Times New Roman"/>
          <w:sz w:val="18"/>
          <w:szCs w:val="18"/>
          <w:color w:val="auto"/>
        </w:rPr>
      </w:pPr>
    </w:p>
    <w:p>
      <w:pPr>
        <w:ind w:left="520" w:right="60" w:hanging="512"/>
        <w:spacing w:after="0" w:line="281"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Prepaid expenses and other current assets decreased $54.1 million, primarily due to the $28.5 million distribution of the above-mentioned litigation settlement during the year, which is fully recoverable under our insurance policies. The decrease in prepaid expenses and other current assets was also related to the collection from Falikang during the current year period based on the arrangements under the above-mentioned settlement agreements between FibroGen China and AstraZeneca to settle certain historical items, which was unbilled receivables as of December 31, 2024;</w:t>
      </w:r>
    </w:p>
    <w:p>
      <w:pPr>
        <w:spacing w:after="0" w:line="56" w:lineRule="exact"/>
        <w:rPr>
          <w:rFonts w:ascii="Times New Roman" w:cs="Times New Roman" w:eastAsia="Times New Roman" w:hAnsi="Times New Roman"/>
          <w:sz w:val="17"/>
          <w:szCs w:val="17"/>
          <w:color w:val="auto"/>
        </w:rPr>
      </w:pPr>
    </w:p>
    <w:p>
      <w:pPr>
        <w:ind w:left="520" w:right="4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expense related to sale of future revenues increased $8.0 million due to the interest expense of $8.4 million accrued, offset by the interest paid of $0.5 million during the period. See Note 9,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consolidated financial statements for details; and</w:t>
      </w:r>
    </w:p>
    <w:p>
      <w:pPr>
        <w:spacing w:after="0" w:line="67"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Inventory decreased $5.4 million primarily driven by lower inventory production in China as we have decommissioned our API manufacturing facility in Cangzhou, China in late 2024. Inventory in China was part of the held-for-sale assets as of December 31, 2024 as discussed in Note 3, </w:t>
      </w:r>
      <w:r>
        <w:rPr>
          <w:rFonts w:ascii="Times New Roman" w:cs="Times New Roman" w:eastAsia="Times New Roman" w:hAnsi="Times New Roman"/>
          <w:sz w:val="18"/>
          <w:szCs w:val="18"/>
          <w:i w:val="1"/>
          <w:iCs w:val="1"/>
          <w:color w:val="auto"/>
        </w:rPr>
        <w:t xml:space="preserve">Discontinued Operations and Divestiture, </w:t>
      </w:r>
      <w:r>
        <w:rPr>
          <w:rFonts w:ascii="Times New Roman" w:cs="Times New Roman" w:eastAsia="Times New Roman" w:hAnsi="Times New Roman"/>
          <w:sz w:val="18"/>
          <w:szCs w:val="18"/>
          <w:color w:val="auto"/>
        </w:rPr>
        <w:t>to the consolidated financial statements.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$138.0 million for the year ended December 31, 2024 and consisted primarily of net loss of $47.6 million adjusted for non-cash items and non-operating activities of $27.0 million and a net decrease in operating assets and liabilities of $117.5 million. The significant non-cash items included stock-based compensation expense of $25.2 million. The significant items in the changes in operating assets and liabilities included the following:</w:t>
      </w:r>
    </w:p>
    <w:p>
      <w:pPr>
        <w:spacing w:after="0" w:line="72" w:lineRule="exact"/>
        <w:rPr>
          <w:sz w:val="20"/>
          <w:szCs w:val="20"/>
          <w:color w:val="auto"/>
        </w:rPr>
      </w:pPr>
    </w:p>
    <w:p>
      <w:pPr>
        <w:ind w:left="520" w:right="220" w:hanging="512"/>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$93.8 million, driven by payment of $35.3 million to Astellas and $11.5 million to AstraZeneca related to accrued API and bulk drug product price true-up, bonus and severance payouts totaling $35.6 million, and settlement of historical co-promotion balances under the settlement agreements entered in September 2024 between FibroGen China and AstraZeneca. The accrued and other liabilities were also impacted by cost control efforts and the timing of invoicing and payment.</w:t>
      </w:r>
    </w:p>
    <w:p>
      <w:pPr>
        <w:spacing w:after="0" w:line="71"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right-of-use assets decreased $66.3 million, operating lease liabilities, non-current decreased $66.2 million and operating lease liabilities, current decreased $12.8 million related to the operating lease termination of our corporate headquarters;</w:t>
      </w:r>
    </w:p>
    <w:p>
      <w:pPr>
        <w:spacing w:after="0" w:line="53" w:lineRule="exact"/>
        <w:rPr>
          <w:rFonts w:ascii="Times New Roman" w:cs="Times New Roman" w:eastAsia="Times New Roman" w:hAnsi="Times New Roman"/>
          <w:sz w:val="18"/>
          <w:szCs w:val="18"/>
          <w:color w:val="auto"/>
        </w:rPr>
      </w:pPr>
    </w:p>
    <w:p>
      <w:pPr>
        <w:ind w:left="520" w:hanging="512"/>
        <w:spacing w:after="0" w:line="254"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decreased $28.3 million, primarily related to the $46.7 million product revenue recognized, which is included in the discontinued operations, from the previously deferred revenue of the China Performance Obligation during the year. In addition, the decrease in deferred revenue was also related to the reclassification of $7.2 million to accrued liabilities, resulting from changes in estimated variable consideration associated with the bulk drug product transferred to Astellas under the terms of the Astellas Europe Agreement and the Astellas EU Supply Agreement during the year. The decreases were offset by the impact that deferred revenue was no longer netted against any contract assets as of December 31, 2024, as the $22.5 million of unbilled co-development revenue under the AstraZeneca China Amendment and the $4.0 million unbilled regulatory milestone payment under the AstraZeneca China Agreement as of December 31, 2023 were billed during the third quarter of 2024 under the above-mentioned settlement agreements;</w:t>
      </w:r>
    </w:p>
    <w:p>
      <w:pPr>
        <w:spacing w:after="0" w:line="83" w:lineRule="exact"/>
        <w:rPr>
          <w:rFonts w:ascii="Times New Roman" w:cs="Times New Roman" w:eastAsia="Times New Roman" w:hAnsi="Times New Roman"/>
          <w:sz w:val="18"/>
          <w:szCs w:val="18"/>
          <w:color w:val="auto"/>
        </w:rPr>
      </w:pPr>
    </w:p>
    <w:p>
      <w:pPr>
        <w:ind w:left="520" w:right="160" w:hanging="512"/>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increased $15.6 million, primarily due to the unbilled receivables from Falikang based on the arrangements under the above-mentioned settlement agreements between FibroGen China and AstraZeneca to settle certain historical items, offset by the reimbursements from the insurance for the legal fees associated with the class action lawsuit, which is recoverable under our insurance policies.</w:t>
      </w:r>
    </w:p>
    <w:p>
      <w:pPr>
        <w:spacing w:after="0" w:line="71" w:lineRule="exact"/>
        <w:rPr>
          <w:rFonts w:ascii="Times New Roman" w:cs="Times New Roman" w:eastAsia="Times New Roman" w:hAnsi="Times New Roman"/>
          <w:sz w:val="18"/>
          <w:szCs w:val="18"/>
          <w:color w:val="auto"/>
        </w:rPr>
      </w:pPr>
    </w:p>
    <w:p>
      <w:pPr>
        <w:ind w:left="520" w:right="240" w:hanging="512"/>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$6.7 million, primarily driven by the billings to Falikang based on the arrangements under the above-mentioned settlement agreements and related to the increase product sales, as well as the timing of receipt of the billings under our collaboration and license agreements. Accounts receivable from Falikang is part of the held-for-sale assets resulting from the Share Purchase Agreement with AstraZeneca Treasury Limited;</w:t>
      </w:r>
    </w:p>
    <w:p>
      <w:pPr>
        <w:spacing w:after="0" w:line="71" w:lineRule="exact"/>
        <w:rPr>
          <w:rFonts w:ascii="Times New Roman" w:cs="Times New Roman" w:eastAsia="Times New Roman" w:hAnsi="Times New Roman"/>
          <w:sz w:val="18"/>
          <w:szCs w:val="18"/>
          <w:color w:val="auto"/>
        </w:rPr>
      </w:pPr>
    </w:p>
    <w:p>
      <w:pPr>
        <w:ind w:left="520" w:right="100" w:hanging="512"/>
        <w:spacing w:after="0" w:line="281"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Inventory decreased $22.3 million primarily driven by the $12.6 million of work-in-progress inventory that was reimbursed as part of the above-mentioned termination of the AstraZeneca U.S./RoW Agreement, and lower inventory production in China as we have decommissioned our API manufacturing facility in Cangzhou, China, and intend to manufacture API for China at Shanghai SynTheAll Pharmaceutical Co., Ltd. (“WuXi STA”). Inventory in China is part of the held-for-sale assets resulting from the Share Purchase Agreement with AstraZeneca Treasury Limited; and</w:t>
      </w:r>
    </w:p>
    <w:p>
      <w:pPr>
        <w:spacing w:after="0" w:line="56" w:lineRule="exact"/>
        <w:rPr>
          <w:rFonts w:ascii="Times New Roman" w:cs="Times New Roman" w:eastAsia="Times New Roman" w:hAnsi="Times New Roman"/>
          <w:sz w:val="17"/>
          <w:szCs w:val="17"/>
          <w:color w:val="auto"/>
        </w:rPr>
      </w:pPr>
    </w:p>
    <w:p>
      <w:pPr>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$14.5 million, primarily driven by the payments to be made for the historical co-promotion expenses to AstraZeneca during the current year, which is part of the held-for-sale liabilities resulting from the Share Purchase Agreement with AstraZeneca Treasury Limited. The increase was offset by timing of invoicing and payments and cost control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 primarily consist of net proceeds from divestiture, purchases of investments, and proceeds from the maturity and sale of investments.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$35.4 million for the year ended December 31, 2025 and consisted primarily of $96.6 million net proceeds from the divestiture of FibroGen International, which included the $210.4 million of cash received at closing, net of the $120.2 million cash in China at the closing that were derecognized upon the divestiture, and the $6.4 million cash received from AstraZeneca as full satisfaction of the first holdback of $6.0 million, plus $0.4 million that was an additional payment following the final net cash adjustments after closing; partially offset by $61.2 million of cash used in purchases of available-for-sale securities.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$126.0 million for the year ended December 31, 2024 and consisted primarily of $133.8 million of proceeds from maturities of investments, partially offset by $8.6 million of cash used in purchases of available-for-sale securities.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Financing activities primarily reflect proceeds from strategic financing arrangements, proceeds from the issuance of our common stock, and cash paid for payroll taxes on restricted stock unit releases.</w:t>
      </w:r>
    </w:p>
    <w:p>
      <w:pPr>
        <w:spacing w:after="0" w:line="2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Net cash used in financing activities was $86.0 million for the year ended December 31, 2025, and consisted primarily of $75.0 million of cash used to pay off our senior secured term loan facilities with MSTV and $5.5 million of cash paid for the related premium and fees associated with the early pay-off. See Note 8,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to the consolidated financial statements for details. Net cash used in financing activities also included $5.4 million of cash paid to FibroGen Cayman’s minority shareholders during the third quarter of 2025. See the </w:t>
      </w:r>
      <w:r>
        <w:rPr>
          <w:rFonts w:ascii="Times New Roman" w:cs="Times New Roman" w:eastAsia="Times New Roman" w:hAnsi="Times New Roman"/>
          <w:sz w:val="18"/>
          <w:szCs w:val="18"/>
          <w:i w:val="1"/>
          <w:iCs w:val="1"/>
          <w:color w:val="auto"/>
        </w:rPr>
        <w:t>Subsidiary Stock and Non-Controlling Interests</w:t>
      </w:r>
    </w:p>
    <w:p>
      <w:pPr>
        <w:spacing w:after="0" w:line="3" w:lineRule="exact"/>
        <w:rPr>
          <w:sz w:val="20"/>
          <w:szCs w:val="20"/>
          <w:color w:val="auto"/>
        </w:rPr>
      </w:pPr>
    </w:p>
    <w:p>
      <w:pPr>
        <w:ind w:right="1800" w:firstLine="8"/>
        <w:spacing w:after="0" w:line="511" w:lineRule="auto"/>
        <w:tabs>
          <w:tab w:leader="none" w:pos="10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FibroGen Cayman </w:t>
      </w:r>
      <w:r>
        <w:rPr>
          <w:rFonts w:ascii="Times New Roman" w:cs="Times New Roman" w:eastAsia="Times New Roman" w:hAnsi="Times New Roman"/>
          <w:sz w:val="18"/>
          <w:szCs w:val="18"/>
          <w:color w:val="auto"/>
        </w:rPr>
        <w:t>section in Note 12,</w:t>
      </w:r>
      <w:r>
        <w:rPr>
          <w:rFonts w:ascii="Times New Roman" w:cs="Times New Roman" w:eastAsia="Times New Roman" w:hAnsi="Times New Roman"/>
          <w:sz w:val="18"/>
          <w:szCs w:val="18"/>
          <w:i w:val="1"/>
          <w:iCs w:val="1"/>
          <w:color w:val="auto"/>
        </w:rPr>
        <w:t xml:space="preserve"> Equity and Stock-based Compensation, </w:t>
      </w:r>
      <w:r>
        <w:rPr>
          <w:rFonts w:ascii="Times New Roman" w:cs="Times New Roman" w:eastAsia="Times New Roman" w:hAnsi="Times New Roman"/>
          <w:sz w:val="18"/>
          <w:szCs w:val="18"/>
          <w:color w:val="auto"/>
        </w:rPr>
        <w:t>to the consolidated financial statements for details.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financing activities was not material for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generate revenue from commercial sales of roxadustat product in Japan and Europe. Even with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development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 as well as unknown factors that may adversely affect our business. We anticipate that we will need substantial additional funding in connection with our continuing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2025, our material cash requirements from known contractual and other obligations primarily relate to our lease liabilities, non-cancelable purchase obligations and liability related to sale of future revenues. Expected timing of those payments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Next 12 Months</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Beyond 12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3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w:t>
            </w:r>
          </w:p>
        </w:tc>
        <w:tc>
          <w:tcPr>
            <w:tcW w:w="14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118,897</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payments</w:t>
            </w:r>
          </w:p>
        </w:tc>
        <w:tc>
          <w:tcPr>
            <w:tcW w:w="14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124,515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Our outstanding non-cancelable purchase obligations primarily related to manufacturing and supply for FG-3246 and roxadustat, and other purchases and programs. 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for details.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Under the RIFA with NovaQuest, as of December 31, 2025, we had $67.3 million of liability related to sale of future revenues on the consolidated balance sheets, $1.3 million of which we expect to pay within the next 12 months. Based on our current estimates of drug product revenue and revenue from milestone payments under the Astellas Agreements, and taking into the consideration of the terms under the RIFA, we anticipate to reach a payment cap up to $125.0 million by 2031. See Note 9,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consolidated financial statements for details.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table above excludes uncertain tax benefits of approximately $74.5 million that are disclosed in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consolidated financial statements because these uncertain tax positions, if recognized, would be an adjustment to the gross deferred tax assets and the corresponding valuation allowance, if warranted.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we have several on-going clinical studies in various stages. Under agreements with various contract research organizations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cancelable, we have historically not canceled such contracts.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2025, our FibroGen Europe Oy (“FibroGen Europe”) subsidiary had $11.1 million of principal outstanding and $8.5 million of interest accrued related to loans from the Finnish government (“TEKES” loans), respectively, which have been included as product development obligations on our consolidated balance sheet. See Note 10, </w:t>
      </w:r>
      <w:r>
        <w:rPr>
          <w:rFonts w:ascii="Times New Roman" w:cs="Times New Roman" w:eastAsia="Times New Roman" w:hAnsi="Times New Roman"/>
          <w:sz w:val="18"/>
          <w:szCs w:val="18"/>
          <w:i w:val="1"/>
          <w:iCs w:val="1"/>
          <w:color w:val="auto"/>
        </w:rPr>
        <w:t>Product Development Obligations</w:t>
      </w:r>
      <w:r>
        <w:rPr>
          <w:rFonts w:ascii="Times New Roman" w:cs="Times New Roman" w:eastAsia="Times New Roman" w:hAnsi="Times New Roman"/>
          <w:sz w:val="18"/>
          <w:szCs w:val="18"/>
          <w:color w:val="auto"/>
        </w:rPr>
        <w:t>, to the consolidated financial statements for details. 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 principal or the accrued interest of these loans are not repayable by FibroGen Europe until it has distributable funds. We do not expect FibroGen Europe to have such funds in the foreseeable future. For the foregoing reasons, we cannot estimate the potential timing and the amounts of repayments (if required) or forgiveness. As a result, the TEKES loans have been excluded from the table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including for example, service, manufacturing and collaboration agreements. Pursuant to these arrangements, we indemnify, holds harmless, and agree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We have entered into indemnification agreements with our directors and officers that may require us to indemnify our directors and officers against liabilities that may arise by reason of their status or service as directors or officers to the extent permissible under applicable law. The maximum potential amount of future payments we could be required to make under these arrangements is not determinable.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recently issued accounting guidance,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to the consolidated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and critical estimates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product revenue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Astellas for ongoing commercial activities in Japan and Europe. We recognize drug product revenue when we fulfill the inventory transfer obligations.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we include it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We review new information that may affect its variable consideration estimate at every reporting period and records revenue adjustment, if certain and material. Actual amounts of consideration ultimately received in the future may differ from our estimates, for which we will adjust these estimates and affect the drug product revenue in the period such variances become known.</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each of our collaboration agreements provide for annual true up to the considerations paid for our commercial supplies, we will re-evaluate the transaction price in each reporting period and record adjustment to revenue as uncertain events are resolved or other changes in circumstances occur.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February 20, 2025, we entered into the Share Purchase Agreement with AstraZeneca Treasury Limited pursuant to which we and our subsidiary FibroGen China Anemia Holdings, Ltd. agreed to sell all of the issued and outstanding equity interests of FibroGen International to AstraZeneca Treasury Limited. This sale includes all of our roxadustat assets in China, including FibroGen International’s subsidiary FibroGen Beijing and its 51.1% interest in Falikang. The transaction was closed on August 29, 2025 for a total consideration of $220.4 million comprised of $85.0 million in cash for the enterprise value of FibroGen International and $135.4 million in net cash held in China. The total consideration included a $210.4 million in cash paid at closing, and a total of $10.0 million cash payable by AstraZeneca at the closing subject to two holdbacks. On November 6, 2025, we received a $6.4 million payment from AstraZeneca, which is in full satisfaction of the first holdback of $6.0 million, plus $0.4 million that was an additional payment following the final net cash adjustments after closing. We analyzed the quantitative and qualitative factors and concluded that the sale of FibroGen International represents a strategic shift in our business and qualified as a discontinued operation. As a result, we determined that FibroGen International met the “held for sale” criteria and the “discontinued operations” criteria in accordance with Financial Accounting Standard Boards Accounting Standards Codification 205, </w:t>
      </w:r>
      <w:r>
        <w:rPr>
          <w:rFonts w:ascii="Times New Roman" w:cs="Times New Roman" w:eastAsia="Times New Roman" w:hAnsi="Times New Roman"/>
          <w:sz w:val="18"/>
          <w:szCs w:val="18"/>
          <w:i w:val="1"/>
          <w:iCs w:val="1"/>
          <w:color w:val="auto"/>
        </w:rPr>
        <w:t xml:space="preserve">Presentation of Financial Statements </w:t>
      </w:r>
      <w:r>
        <w:rPr>
          <w:rFonts w:ascii="Times New Roman" w:cs="Times New Roman" w:eastAsia="Times New Roman" w:hAnsi="Times New Roman"/>
          <w:sz w:val="18"/>
          <w:szCs w:val="18"/>
          <w:color w:val="auto"/>
        </w:rPr>
        <w:t>(“ASC 205”), as of December 31, 2024. Accordingly, the operating results related to FibroGen International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classified as discontinued operations, and have been reflected as discontinued operations in the consolidated statements of operations, while the related assets and liabilities were classified within the consolidated balance sheets as held for sale for all periods presented.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Divestiture</w:t>
      </w:r>
      <w:r>
        <w:rPr>
          <w:rFonts w:ascii="Times New Roman" w:cs="Times New Roman" w:eastAsia="Times New Roman" w:hAnsi="Times New Roman"/>
          <w:sz w:val="18"/>
          <w:szCs w:val="18"/>
          <w:color w:val="auto"/>
        </w:rPr>
        <w:t>, to our consolidated financial statements for related disclosures.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therefore, pursuant to Item 305(e) of Regulation S-K, we are not required to provide the information required by this Item.</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106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Kyntra Bio, Inc.</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10680" w:type="dxa"/>
            <w:vAlign w:val="bottom"/>
            <w:gridSpan w:val="10"/>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10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6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2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83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10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Interests and Stockholders’ Deficit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4640" w:type="dxa"/>
            <w:vAlign w:val="bottom"/>
            <w:tcBorders>
              <w:top w:val="single" w:sz="8" w:color="0000EE"/>
            </w:tcBorders>
            <w:gridSpan w:val="5"/>
          </w:tcPr>
          <w:p>
            <w:pPr>
              <w:spacing w:after="0"/>
              <w:rPr>
                <w:sz w:val="24"/>
                <w:szCs w:val="24"/>
                <w:color w:val="auto"/>
              </w:rPr>
            </w:pPr>
          </w:p>
        </w:tc>
        <w:tc>
          <w:tcPr>
            <w:tcW w:w="2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3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53"/>
        </w:trPr>
        <w:tc>
          <w:tcPr>
            <w:tcW w:w="106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10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II. Valuation and Qualifying Accounts for each of the two years ended December 31,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776"/>
        </w:trPr>
        <w:tc>
          <w:tcPr>
            <w:tcW w:w="260" w:type="dxa"/>
            <w:vAlign w:val="bottom"/>
          </w:tcPr>
          <w:p>
            <w:pPr>
              <w:spacing w:after="0"/>
              <w:rPr>
                <w:sz w:val="24"/>
                <w:szCs w:val="24"/>
                <w:color w:val="auto"/>
              </w:rPr>
            </w:pPr>
          </w:p>
        </w:tc>
        <w:tc>
          <w:tcPr>
            <w:tcW w:w="6520" w:type="dxa"/>
            <w:vAlign w:val="bottom"/>
            <w:tcBorders>
              <w:top w:val="single" w:sz="8" w:color="0000EE"/>
            </w:tcBorders>
            <w:gridSpan w:val="7"/>
          </w:tcPr>
          <w:p>
            <w:pPr>
              <w:jc w:val="right"/>
              <w:ind w:right="1060"/>
              <w:spacing w:after="0"/>
              <w:rPr>
                <w:sz w:val="20"/>
                <w:szCs w:val="20"/>
                <w:color w:val="auto"/>
              </w:rPr>
            </w:pPr>
            <w:r>
              <w:rPr>
                <w:rFonts w:ascii="Times New Roman" w:cs="Times New Roman" w:eastAsia="Times New Roman" w:hAnsi="Times New Roman"/>
                <w:sz w:val="18"/>
                <w:szCs w:val="18"/>
                <w:color w:val="auto"/>
              </w:rPr>
              <w:t>68</w:t>
            </w:r>
          </w:p>
        </w:tc>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Kyntra Bio,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Kyntra Bio, Inc. and its subsidiaries (the "Company") as of December 31, 2025 and 2024, and the related consolidated statements of operations, of comprehensive income (loss), of changes in redeemable non-controlling interests and stockholders’ deficit and of cash flows for the years then ended, including the related notes and financial statement schedule listed in the accompanying index for each of the years then ended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 – FibroGen International</w:t>
      </w:r>
    </w:p>
    <w:p>
      <w:pPr>
        <w:spacing w:after="0" w:line="200"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on February 20, 2025, the Company entered into the Share Purchase Agreement with AstraZeneca Treasury Limited pursuant to which the Company and its subsidiary FibroGen China Anemia Holdings, Ltd. agreed to sell all of the issued and outstanding equity interests of FibroGen International to AstraZeneca Treasury Limited (the “Transaction”). This sale includes all of the Company’s roxadustat assets in China, including FibroGen International’s subsidiary FibroGen (China) Medical Technology Development Co., Ltd (“FibroGen Beijing”) and its 51.1% interest in Beijing Falikang Pharmaceutical Co., Ltd. (“Falikang”). The Transaction was closed on August 29, 2025. The Company analyzed the quantitative and qualitative factors and concluded that the sale of FibroGen International represents a strategic shift in the Company’s business and qualified as a discontinued operation. The operating results of FibroGen International have been reflected as discontinued operations in the consolidated financial statements for all periods presented. The Company recorded income from discontinued operations, net of tax, of $241.7 million, which included gain on divestiture of $52.6 million, for the year ended December 31, 2025.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p>
      <w:pPr>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the discontinued operations of FibroGen International is a critical audit matter is a high degree of auditor effort in performing procedures related to the disposal transaction.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reading the purchase and close agreements; (ii) evaluating the sufficiency of the disclosures in the consolidated financial statements; (iii) testing the gain recorded upon disposal, including obtaining and inspecting source documents, such as contracts, bank statements, and historical accounting records, and agreeing the corresponding inputs in the gain calculation and testing the mathematical accuracy of the gain calculation, and (iv) testing the completeness, accuracy and classification of certain classes of transactions included in income from discontinued operations, net, on a sample basis, by obtaining and inspecting source documents, such as contracts, purchase orders, invoices, and shipping documents.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61" w:right="4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KYNTRA BIO,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110,849</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99,073</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196,509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 held for sale</w:t>
            </w: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119,594</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deficit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38,917</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133,306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114,708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facilities, non-current</w:t>
            </w:r>
          </w:p>
        </w:tc>
        <w:tc>
          <w:tcPr>
            <w:tcW w:w="16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non-current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 held for sale</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18"/>
                <w:szCs w:val="18"/>
                <w:color w:val="auto"/>
              </w:rPr>
            </w:pPr>
          </w:p>
        </w:tc>
      </w:tr>
      <w:tr>
        <w:trPr>
          <w:trHeight w:val="210"/>
        </w:trPr>
        <w:tc>
          <w:tcPr>
            <w:tcW w:w="77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115,119</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398,160</w:t>
            </w:r>
          </w:p>
        </w:tc>
        <w:tc>
          <w:tcPr>
            <w:tcW w:w="100" w:type="dxa"/>
            <w:vAlign w:val="bottom"/>
            <w:tcBorders>
              <w:top w:val="single" w:sz="8" w:color="CFF0FC"/>
            </w:tcBorders>
          </w:tcPr>
          <w:p>
            <w:pPr>
              <w:spacing w:after="0"/>
              <w:rPr>
                <w:sz w:val="18"/>
                <w:szCs w:val="18"/>
                <w:color w:val="auto"/>
              </w:rPr>
            </w:pPr>
          </w:p>
        </w:tc>
      </w:tr>
      <w:tr>
        <w:trPr>
          <w:trHeight w:val="216"/>
        </w:trPr>
        <w:tc>
          <w:tcPr>
            <w:tcW w:w="7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125,000 shares authorized; no shares issued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outstanding at December 31, 2025 and 2024</w:t>
            </w:r>
          </w:p>
        </w:tc>
        <w:tc>
          <w:tcPr>
            <w:tcW w:w="16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225,000 shares authorized at December 31, 2025 and 2024; 4,047 and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4,037 shares issued and outstanding at December 31, 2025 and 2024</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FF0FC"/>
          </w:tcPr>
          <w:p>
            <w:pPr>
              <w:spacing w:after="0"/>
              <w:rPr>
                <w:sz w:val="20"/>
                <w:szCs w:val="20"/>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1,677,179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1,668,620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(5,732)</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(1,706,047)</w:t>
            </w:r>
          </w:p>
        </w:tc>
        <w:tc>
          <w:tcPr>
            <w:tcW w:w="1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(1,889,499)</w:t>
            </w:r>
          </w:p>
        </w:tc>
      </w:tr>
      <w:tr>
        <w:trPr>
          <w:trHeight w:val="20"/>
        </w:trPr>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deficit attributable to Kyntra Bio</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(30,038)</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(225,602)</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(17,005)</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(205,115)</w:t>
            </w:r>
          </w:p>
        </w:tc>
      </w:tr>
      <w:tr>
        <w:trPr>
          <w:trHeight w:val="210"/>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deficit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119,594</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214,525</w:t>
            </w:r>
          </w:p>
        </w:tc>
        <w:tc>
          <w:tcPr>
            <w:tcW w:w="100" w:type="dxa"/>
            <w:vAlign w:val="bottom"/>
            <w:tcBorders>
              <w:top w:val="single" w:sz="8" w:color="CFF0FC"/>
            </w:tcBorders>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-4345305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-4328160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-4328160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-2390775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KYNTRA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tcPr>
          <w:p>
            <w:pPr>
              <w:spacing w:after="0"/>
              <w:rPr>
                <w:sz w:val="18"/>
                <w:szCs w:val="18"/>
                <w:color w:val="auto"/>
              </w:rPr>
            </w:pP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Drug product revenue, net</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3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23,517</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95,692</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27,709</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49,330</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00" w:type="dxa"/>
            <w:vAlign w:val="bottom"/>
          </w:tcPr>
          <w:p>
            <w:pPr>
              <w:spacing w:after="0"/>
              <w:rPr>
                <w:sz w:val="18"/>
                <w:szCs w:val="18"/>
                <w:color w:val="auto"/>
              </w:rPr>
            </w:pPr>
          </w:p>
        </w:tc>
      </w:tr>
      <w:tr>
        <w:trPr>
          <w:trHeight w:val="209"/>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52,335</w:t>
            </w:r>
          </w:p>
        </w:tc>
        <w:tc>
          <w:tcPr>
            <w:tcW w:w="3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(45,895)</w:t>
            </w:r>
          </w:p>
        </w:tc>
        <w:tc>
          <w:tcPr>
            <w:tcW w:w="9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(150,416)</w:t>
            </w:r>
          </w:p>
        </w:tc>
      </w:tr>
      <w:tr>
        <w:trPr>
          <w:trHeight w:val="216"/>
        </w:trPr>
        <w:tc>
          <w:tcPr>
            <w:tcW w:w="7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(8,759)</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(8,247)</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extinguishments</w:t>
            </w:r>
          </w:p>
        </w:tc>
        <w:tc>
          <w:tcPr>
            <w:tcW w:w="9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(6,583)</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9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(12,399)</w:t>
            </w:r>
          </w:p>
        </w:tc>
        <w:tc>
          <w:tcPr>
            <w:tcW w:w="9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(2,951)</w:t>
            </w:r>
          </w:p>
        </w:tc>
      </w:tr>
      <w:tr>
        <w:trPr>
          <w:trHeight w:val="209"/>
        </w:trPr>
        <w:tc>
          <w:tcPr>
            <w:tcW w:w="76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9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(58,294)</w:t>
            </w:r>
          </w:p>
        </w:tc>
        <w:tc>
          <w:tcPr>
            <w:tcW w:w="9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(153,367)</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(58,204)</w:t>
            </w: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(153,098)</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241,656</w:t>
            </w:r>
          </w:p>
        </w:tc>
        <w:tc>
          <w:tcPr>
            <w:tcW w:w="3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183,452</w:t>
            </w:r>
          </w:p>
        </w:tc>
        <w:tc>
          <w:tcPr>
            <w:tcW w:w="300" w:type="dxa"/>
            <w:vAlign w:val="bottom"/>
          </w:tcPr>
          <w:p>
            <w:pPr>
              <w:spacing w:after="0"/>
              <w:rPr>
                <w:sz w:val="18"/>
                <w:szCs w:val="18"/>
                <w:color w:val="auto"/>
              </w:rPr>
            </w:pP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(47,579)</w:t>
            </w:r>
          </w:p>
        </w:tc>
      </w:tr>
      <w:tr>
        <w:trPr>
          <w:trHeight w:val="20"/>
        </w:trPr>
        <w:tc>
          <w:tcPr>
            <w:tcW w:w="7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per share - basic and diluted</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(14.40)</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(38.26)</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per share - basic and diluted</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3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FF0FC"/>
          </w:tcPr>
          <w:p>
            <w:pPr>
              <w:spacing w:after="0"/>
              <w:rPr>
                <w:sz w:val="18"/>
                <w:szCs w:val="18"/>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 basic and diluted</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300" w:type="dxa"/>
            <w:vAlign w:val="bottom"/>
          </w:tcPr>
          <w:p>
            <w:pPr>
              <w:spacing w:after="0"/>
              <w:rPr>
                <w:sz w:val="18"/>
                <w:szCs w:val="18"/>
                <w:color w:val="auto"/>
              </w:rPr>
            </w:pPr>
          </w:p>
        </w:tc>
        <w:tc>
          <w:tcPr>
            <w:tcW w:w="9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used to calculate</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per share - basic and diluted</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-3959860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-2845435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-2014220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-1165225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KYNTRA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1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183,452</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(47,579)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currency translation adjustment attributable to divestiture</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1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6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18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top w:val="single" w:sz="8" w:color="CFF0FC"/>
            </w:tcBorders>
          </w:tcPr>
          <w:p>
            <w:pPr>
              <w:spacing w:after="0"/>
              <w:rPr>
                <w:sz w:val="18"/>
                <w:szCs w:val="18"/>
                <w:color w:val="auto"/>
              </w:rPr>
            </w:pPr>
          </w:p>
        </w:tc>
      </w:tr>
      <w:tr>
        <w:trPr>
          <w:trHeight w:val="22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(46,436)</w:t>
            </w: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-316865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KYNTRA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3"/>
              </w:rPr>
              <w:t>Non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2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1"/>
                <w:szCs w:val="11"/>
                <w:color w:val="auto"/>
              </w:rPr>
            </w:pPr>
          </w:p>
        </w:tc>
        <w:tc>
          <w:tcPr>
            <w:tcW w:w="1040" w:type="dxa"/>
            <w:vAlign w:val="bottom"/>
            <w:gridSpan w:val="2"/>
          </w:tcPr>
          <w:p>
            <w:pPr>
              <w:jc w:val="right"/>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Controlling</w:t>
            </w:r>
          </w:p>
        </w:tc>
        <w:tc>
          <w:tcPr>
            <w:tcW w:w="18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520"/>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w w:val="96"/>
              </w:rPr>
              <w:t>Non-Controlling</w:t>
            </w: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060" w:type="dxa"/>
            <w:vAlign w:val="bottom"/>
            <w:gridSpan w:val="2"/>
          </w:tcPr>
          <w:p>
            <w:pPr>
              <w:jc w:val="right"/>
              <w:ind w:right="44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1"/>
                <w:szCs w:val="11"/>
                <w:color w:val="auto"/>
              </w:rPr>
            </w:pPr>
          </w:p>
        </w:tc>
        <w:tc>
          <w:tcPr>
            <w:tcW w:w="1040" w:type="dxa"/>
            <w:vAlign w:val="bottom"/>
            <w:gridSpan w:val="2"/>
          </w:tcPr>
          <w:p>
            <w:pPr>
              <w:jc w:val="right"/>
              <w:ind w:right="48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9"/>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91"/>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Interests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(Note 5)</w:t>
            </w:r>
          </w:p>
        </w:tc>
        <w:tc>
          <w:tcPr>
            <w:tcW w:w="0" w:type="dxa"/>
            <w:vAlign w:val="bottom"/>
          </w:tcPr>
          <w:p>
            <w:pPr>
              <w:spacing w:after="0"/>
              <w:rPr>
                <w:sz w:val="1"/>
                <w:szCs w:val="1"/>
                <w:color w:val="auto"/>
              </w:rPr>
            </w:pPr>
          </w:p>
        </w:tc>
      </w:tr>
      <w:tr>
        <w:trPr>
          <w:trHeight w:val="124"/>
        </w:trPr>
        <w:tc>
          <w:tcPr>
            <w:tcW w:w="22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3,950,809</w:t>
            </w:r>
          </w:p>
        </w:tc>
        <w:tc>
          <w:tcPr>
            <w:tcW w:w="16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300" w:type="dxa"/>
            <w:vAlign w:val="bottom"/>
            <w:gridSpan w:val="2"/>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1,643,641</w:t>
            </w:r>
          </w:p>
        </w:tc>
        <w:tc>
          <w:tcPr>
            <w:tcW w:w="100" w:type="dxa"/>
            <w:vAlign w:val="bottom"/>
            <w:shd w:val="clear" w:color="auto" w:fill="CFF0FC"/>
          </w:tcPr>
          <w:p>
            <w:pPr>
              <w:spacing w:after="0"/>
              <w:rPr>
                <w:sz w:val="10"/>
                <w:szCs w:val="10"/>
                <w:color w:val="auto"/>
              </w:rPr>
            </w:pP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(6,875)</w:t>
            </w:r>
          </w:p>
        </w:tc>
        <w:tc>
          <w:tcPr>
            <w:tcW w:w="12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(1,841,920)</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16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(183,679)</w:t>
            </w:r>
          </w:p>
        </w:tc>
        <w:tc>
          <w:tcPr>
            <w:tcW w:w="180" w:type="dxa"/>
            <w:vAlign w:val="bottom"/>
            <w:gridSpan w:val="2"/>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380" w:type="dxa"/>
            <w:vAlign w:val="bottom"/>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gridSpan w:val="2"/>
            <w:vMerge w:val="continue"/>
            <w:shd w:val="clear" w:color="auto" w:fill="CFF0FC"/>
          </w:tcPr>
          <w:p>
            <w:pPr>
              <w:spacing w:after="0"/>
              <w:rPr>
                <w:sz w:val="15"/>
                <w:szCs w:val="15"/>
                <w:color w:val="auto"/>
              </w:rPr>
            </w:pPr>
          </w:p>
        </w:tc>
        <w:tc>
          <w:tcPr>
            <w:tcW w:w="120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80" w:type="dxa"/>
            <w:vAlign w:val="bottom"/>
            <w:gridSpan w:val="2"/>
            <w:vMerge w:val="continue"/>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920" w:type="dxa"/>
            <w:vAlign w:val="bottom"/>
            <w:tcBorders>
              <w:right w:val="single" w:sz="8" w:color="auto"/>
            </w:tcBorders>
            <w:gridSpan w:val="2"/>
            <w:vMerge w:val="continue"/>
            <w:shd w:val="clear" w:color="auto" w:fill="CFF0FC"/>
          </w:tcPr>
          <w:p>
            <w:pPr>
              <w:spacing w:after="0"/>
              <w:rPr>
                <w:sz w:val="15"/>
                <w:szCs w:val="15"/>
                <w:color w:val="auto"/>
              </w:rPr>
            </w:pPr>
          </w:p>
        </w:tc>
        <w:tc>
          <w:tcPr>
            <w:tcW w:w="180" w:type="dxa"/>
            <w:vAlign w:val="bottom"/>
            <w:gridSpan w:val="2"/>
            <w:vMerge w:val="continue"/>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(47,579)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(47,579)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or loss on</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investments</w:t>
            </w: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adjustments</w:t>
            </w: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issued from</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plans, net of</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85,869</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(215)</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payroll taxes paid</w:t>
            </w:r>
          </w:p>
        </w:tc>
        <w:tc>
          <w:tcPr>
            <w:tcW w:w="9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25,215</w:t>
            </w: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24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10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4,036,678</w:t>
            </w:r>
          </w:p>
        </w:tc>
        <w:tc>
          <w:tcPr>
            <w:tcW w:w="16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60" w:type="dxa"/>
            <w:vAlign w:val="bottom"/>
            <w:shd w:val="clear" w:color="auto" w:fill="CFF0FC"/>
          </w:tcPr>
          <w:p>
            <w:pPr>
              <w:spacing w:after="0"/>
              <w:rPr>
                <w:sz w:val="10"/>
                <w:szCs w:val="10"/>
                <w:color w:val="auto"/>
              </w:rPr>
            </w:pPr>
          </w:p>
        </w:tc>
        <w:tc>
          <w:tcPr>
            <w:tcW w:w="140" w:type="dxa"/>
            <w:vAlign w:val="bottom"/>
            <w:tcBorders>
              <w:top w:val="single" w:sz="8" w:color="auto"/>
            </w:tcBorders>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1,668,620</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160" w:type="dxa"/>
            <w:vAlign w:val="bottom"/>
            <w:shd w:val="clear" w:color="auto" w:fill="CFF0FC"/>
          </w:tcPr>
          <w:p>
            <w:pPr>
              <w:spacing w:after="0"/>
              <w:rPr>
                <w:sz w:val="10"/>
                <w:szCs w:val="10"/>
                <w:color w:val="auto"/>
              </w:rPr>
            </w:pPr>
          </w:p>
        </w:tc>
        <w:tc>
          <w:tcPr>
            <w:tcW w:w="120" w:type="dxa"/>
            <w:vAlign w:val="bottom"/>
            <w:tcBorders>
              <w:top w:val="single" w:sz="8" w:color="auto"/>
            </w:tcBorders>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(1,889,499)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16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(205,115)</w:t>
            </w:r>
          </w:p>
        </w:tc>
        <w:tc>
          <w:tcPr>
            <w:tcW w:w="18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tcBorders>
              <w:top w:val="single" w:sz="8" w:color="auto"/>
            </w:tcBorders>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CFF0FC"/>
            </w:tcBorders>
            <w:shd w:val="clear" w:color="auto" w:fill="CFF0FC"/>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180" w:type="dxa"/>
            <w:vAlign w:val="bottom"/>
            <w:tcBorders>
              <w:bottom w:val="single" w:sz="8" w:color="CFF0FC"/>
              <w:right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183,452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183,452</w:t>
            </w: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or loss on</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investments</w:t>
            </w: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(1,966)</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(1,966)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adjustments</w:t>
            </w: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Cumulative currency</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translation adjustment</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divestiture (Note 3)</w:t>
            </w: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Distribution to non-</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controlling interest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(7,454)</w:t>
            </w:r>
          </w:p>
        </w:tc>
        <w:tc>
          <w:tcPr>
            <w:tcW w:w="18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(Note 12)</w:t>
            </w: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issued from</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plans, net of</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10,204</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payroll taxes paid</w:t>
            </w:r>
          </w:p>
        </w:tc>
        <w:tc>
          <w:tcPr>
            <w:tcW w:w="9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cost under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ATM Program</w:t>
            </w: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Redemption of fractional</w:t>
            </w: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 due to reverse</w:t>
            </w: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stock split</w:t>
            </w:r>
          </w:p>
        </w:tc>
        <w:tc>
          <w:tcPr>
            <w:tcW w:w="10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6,576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6,576</w:t>
            </w: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24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10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4,046,827</w:t>
            </w:r>
          </w:p>
        </w:tc>
        <w:tc>
          <w:tcPr>
            <w:tcW w:w="16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60" w:type="dxa"/>
            <w:vAlign w:val="bottom"/>
            <w:shd w:val="clear" w:color="auto" w:fill="CFF0FC"/>
          </w:tcPr>
          <w:p>
            <w:pPr>
              <w:spacing w:after="0"/>
              <w:rPr>
                <w:sz w:val="10"/>
                <w:szCs w:val="10"/>
                <w:color w:val="auto"/>
              </w:rPr>
            </w:pPr>
          </w:p>
        </w:tc>
        <w:tc>
          <w:tcPr>
            <w:tcW w:w="140" w:type="dxa"/>
            <w:vAlign w:val="bottom"/>
            <w:tcBorders>
              <w:top w:val="single" w:sz="8" w:color="auto"/>
            </w:tcBorders>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1,677,179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60" w:type="dxa"/>
            <w:vAlign w:val="bottom"/>
            <w:shd w:val="clear" w:color="auto" w:fill="CFF0FC"/>
          </w:tcPr>
          <w:p>
            <w:pPr>
              <w:spacing w:after="0"/>
              <w:rPr>
                <w:sz w:val="10"/>
                <w:szCs w:val="10"/>
                <w:color w:val="auto"/>
              </w:rPr>
            </w:pPr>
          </w:p>
        </w:tc>
        <w:tc>
          <w:tcPr>
            <w:tcW w:w="120" w:type="dxa"/>
            <w:vAlign w:val="bottom"/>
            <w:tcBorders>
              <w:top w:val="single" w:sz="8" w:color="auto"/>
            </w:tcBorders>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(1,706,047)</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13,033</w:t>
            </w:r>
          </w:p>
        </w:tc>
        <w:tc>
          <w:tcPr>
            <w:tcW w:w="16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(17,005)</w:t>
            </w:r>
          </w:p>
        </w:tc>
        <w:tc>
          <w:tcPr>
            <w:tcW w:w="18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tcBorders>
              <w:top w:val="single" w:sz="8" w:color="auto"/>
            </w:tcBorders>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CFF0FC"/>
            </w:tcBorders>
            <w:shd w:val="clear" w:color="auto" w:fill="CFF0FC"/>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180" w:type="dxa"/>
            <w:vAlign w:val="bottom"/>
            <w:tcBorders>
              <w:bottom w:val="single" w:sz="8" w:color="CFF0FC"/>
              <w:right w:val="single" w:sz="8" w:color="auto"/>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-2476500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-2459355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-2476500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-2459355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-2459355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-2459355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-2459355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-2459355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-2459355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KYNTRA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5"/>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r>
      <w:tr>
        <w:trPr>
          <w:trHeight w:val="142"/>
        </w:trPr>
        <w:tc>
          <w:tcPr>
            <w:tcW w:w="7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r>
      <w:tr>
        <w:trPr>
          <w:trHeight w:val="142"/>
        </w:trPr>
        <w:tc>
          <w:tcPr>
            <w:tcW w:w="7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183,452</w:t>
            </w:r>
          </w:p>
        </w:tc>
        <w:tc>
          <w:tcPr>
            <w:tcW w:w="26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(47,579)</w:t>
            </w:r>
          </w:p>
        </w:tc>
      </w:tr>
      <w:tr>
        <w:trPr>
          <w:trHeight w:val="136"/>
        </w:trPr>
        <w:tc>
          <w:tcPr>
            <w:tcW w:w="714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Adjustments to reconcile net income (loss) to net cash used in</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7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operating activities: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2,654</w:t>
            </w:r>
          </w:p>
        </w:tc>
        <w:tc>
          <w:tcPr>
            <w:tcW w:w="100" w:type="dxa"/>
            <w:vAlign w:val="bottom"/>
          </w:tcPr>
          <w:p>
            <w:pPr>
              <w:spacing w:after="0"/>
              <w:rPr>
                <w:sz w:val="12"/>
                <w:szCs w:val="12"/>
                <w:color w:val="auto"/>
              </w:rPr>
            </w:pPr>
          </w:p>
        </w:tc>
      </w:tr>
      <w:tr>
        <w:trPr>
          <w:trHeight w:val="149"/>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Amortization of finance lease right-of-use assets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FF0FC"/>
          </w:tcPr>
          <w:p>
            <w:pPr>
              <w:spacing w:after="0"/>
              <w:rPr>
                <w:sz w:val="12"/>
                <w:szCs w:val="12"/>
                <w:color w:val="auto"/>
              </w:rPr>
            </w:pP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accretion of premium and discount on investments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tcPr>
          <w:p>
            <w:pPr>
              <w:spacing w:after="0"/>
              <w:rPr>
                <w:sz w:val="12"/>
                <w:szCs w:val="12"/>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(1,680)</w:t>
            </w:r>
          </w:p>
        </w:tc>
      </w:tr>
      <w:tr>
        <w:trPr>
          <w:trHeight w:val="148"/>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Investment income in unconsolidated variable interest entity</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(2,485)</w:t>
            </w: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(3,969)</w:t>
            </w: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divestiture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(52,553)</w:t>
            </w:r>
          </w:p>
        </w:tc>
        <w:tc>
          <w:tcPr>
            <w:tcW w:w="20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Loss on debt extinguishments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6,583</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of property and equipment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2,551</w:t>
            </w:r>
          </w:p>
        </w:tc>
        <w:tc>
          <w:tcPr>
            <w:tcW w:w="100" w:type="dxa"/>
            <w:vAlign w:val="bottom"/>
            <w:shd w:val="clear" w:color="auto" w:fill="CFF0FC"/>
          </w:tcPr>
          <w:p>
            <w:pPr>
              <w:spacing w:after="0"/>
              <w:rPr>
                <w:sz w:val="12"/>
                <w:szCs w:val="12"/>
                <w:color w:val="auto"/>
              </w:rPr>
            </w:pP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25,215</w:t>
            </w:r>
          </w:p>
        </w:tc>
        <w:tc>
          <w:tcPr>
            <w:tcW w:w="100" w:type="dxa"/>
            <w:vAlign w:val="bottom"/>
          </w:tcPr>
          <w:p>
            <w:pPr>
              <w:spacing w:after="0"/>
              <w:rPr>
                <w:sz w:val="12"/>
                <w:szCs w:val="12"/>
                <w:color w:val="auto"/>
              </w:rPr>
            </w:pPr>
          </w:p>
        </w:tc>
      </w:tr>
      <w:tr>
        <w:trPr>
          <w:trHeight w:val="148"/>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Dividend received from unconsolidated variable interest entity</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3,947</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100" w:type="dxa"/>
            <w:vAlign w:val="bottom"/>
            <w:shd w:val="clear" w:color="auto" w:fill="CFF0FC"/>
          </w:tcPr>
          <w:p>
            <w:pPr>
              <w:spacing w:after="0"/>
              <w:rPr>
                <w:sz w:val="12"/>
                <w:szCs w:val="12"/>
                <w:color w:val="auto"/>
              </w:rPr>
            </w:pPr>
          </w:p>
        </w:tc>
      </w:tr>
      <w:tr>
        <w:trPr>
          <w:trHeight w:val="148"/>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Accounts receivable, net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(2,543)</w:t>
            </w: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(6,737)</w:t>
            </w:r>
          </w:p>
        </w:tc>
      </w:tr>
      <w:tr>
        <w:trPr>
          <w:trHeight w:val="149"/>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22,284</w:t>
            </w:r>
          </w:p>
        </w:tc>
        <w:tc>
          <w:tcPr>
            <w:tcW w:w="100" w:type="dxa"/>
            <w:vAlign w:val="bottom"/>
          </w:tcPr>
          <w:p>
            <w:pPr>
              <w:spacing w:after="0"/>
              <w:rPr>
                <w:sz w:val="12"/>
                <w:szCs w:val="12"/>
                <w:color w:val="auto"/>
              </w:rPr>
            </w:pPr>
          </w:p>
        </w:tc>
      </w:tr>
      <w:tr>
        <w:trPr>
          <w:trHeight w:val="148"/>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54,102</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(15,550)</w:t>
            </w: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66,306</w:t>
            </w:r>
          </w:p>
        </w:tc>
        <w:tc>
          <w:tcPr>
            <w:tcW w:w="100" w:type="dxa"/>
            <w:vAlign w:val="bottom"/>
          </w:tcPr>
          <w:p>
            <w:pPr>
              <w:spacing w:after="0"/>
              <w:rPr>
                <w:sz w:val="12"/>
                <w:szCs w:val="12"/>
                <w:color w:val="auto"/>
              </w:rPr>
            </w:pPr>
          </w:p>
        </w:tc>
      </w:tr>
      <w:tr>
        <w:trPr>
          <w:trHeight w:val="148"/>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(902)</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00" w:type="dxa"/>
            <w:vAlign w:val="bottom"/>
            <w:shd w:val="clear" w:color="auto" w:fill="CFF0FC"/>
          </w:tcPr>
          <w:p>
            <w:pPr>
              <w:spacing w:after="0"/>
              <w:rPr>
                <w:sz w:val="12"/>
                <w:szCs w:val="12"/>
                <w:color w:val="auto"/>
              </w:rPr>
            </w:pP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(27,654)</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14,512</w:t>
            </w:r>
          </w:p>
        </w:tc>
        <w:tc>
          <w:tcPr>
            <w:tcW w:w="100" w:type="dxa"/>
            <w:vAlign w:val="bottom"/>
          </w:tcPr>
          <w:p>
            <w:pPr>
              <w:spacing w:after="0"/>
              <w:rPr>
                <w:sz w:val="12"/>
                <w:szCs w:val="12"/>
                <w:color w:val="auto"/>
              </w:rPr>
            </w:pPr>
          </w:p>
        </w:tc>
      </w:tr>
      <w:tr>
        <w:trPr>
          <w:trHeight w:val="149"/>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Accrued and other liabilities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(53,497)</w:t>
            </w: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(93,790)</w:t>
            </w: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(568)</w:t>
            </w:r>
          </w:p>
        </w:tc>
        <w:tc>
          <w:tcPr>
            <w:tcW w:w="200" w:type="dxa"/>
            <w:vAlign w:val="bottom"/>
          </w:tcPr>
          <w:p>
            <w:pPr>
              <w:spacing w:after="0"/>
              <w:rPr>
                <w:sz w:val="12"/>
                <w:szCs w:val="12"/>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(12,774)</w:t>
            </w:r>
          </w:p>
        </w:tc>
      </w:tr>
      <w:tr>
        <w:trPr>
          <w:trHeight w:val="148"/>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Deferred revenues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(136,429)</w:t>
            </w: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(28,297)</w:t>
            </w: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interest expense related to sale of future revenues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100" w:type="dxa"/>
            <w:vAlign w:val="bottom"/>
          </w:tcPr>
          <w:p>
            <w:pPr>
              <w:spacing w:after="0"/>
              <w:rPr>
                <w:sz w:val="12"/>
                <w:szCs w:val="12"/>
                <w:color w:val="auto"/>
              </w:rPr>
            </w:pPr>
          </w:p>
        </w:tc>
      </w:tr>
      <w:tr>
        <w:trPr>
          <w:trHeight w:val="148"/>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Accrued interest for finance lease liabilities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FF0FC"/>
          </w:tcPr>
          <w:p>
            <w:pPr>
              <w:spacing w:after="0"/>
              <w:rPr>
                <w:sz w:val="12"/>
                <w:szCs w:val="12"/>
                <w:color w:val="auto"/>
              </w:rPr>
            </w:pPr>
          </w:p>
        </w:tc>
      </w:tr>
      <w:tr>
        <w:trPr>
          <w:trHeight w:val="148"/>
        </w:trPr>
        <w:tc>
          <w:tcPr>
            <w:tcW w:w="7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(202)</w:t>
            </w:r>
          </w:p>
        </w:tc>
        <w:tc>
          <w:tcPr>
            <w:tcW w:w="200" w:type="dxa"/>
            <w:vAlign w:val="bottom"/>
          </w:tcPr>
          <w:p>
            <w:pPr>
              <w:spacing w:after="0"/>
              <w:rPr>
                <w:sz w:val="12"/>
                <w:szCs w:val="12"/>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(66,154)</w:t>
            </w:r>
          </w:p>
        </w:tc>
      </w:tr>
      <w:tr>
        <w:trPr>
          <w:trHeight w:val="149"/>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(540)</w:t>
            </w:r>
          </w:p>
        </w:tc>
      </w:tr>
      <w:tr>
        <w:trPr>
          <w:trHeight w:val="20"/>
        </w:trPr>
        <w:tc>
          <w:tcPr>
            <w:tcW w:w="7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140" w:type="dxa"/>
            <w:vAlign w:val="bottom"/>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(4,774)</w:t>
            </w:r>
          </w:p>
        </w:tc>
        <w:tc>
          <w:tcPr>
            <w:tcW w:w="200" w:type="dxa"/>
            <w:vAlign w:val="bottom"/>
          </w:tcPr>
          <w:p>
            <w:pPr>
              <w:spacing w:after="0"/>
              <w:rPr>
                <w:sz w:val="12"/>
                <w:szCs w:val="12"/>
                <w:color w:val="auto"/>
              </w:rPr>
            </w:pPr>
          </w:p>
        </w:tc>
        <w:tc>
          <w:tcPr>
            <w:tcW w:w="1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(137,999)</w:t>
            </w:r>
          </w:p>
        </w:tc>
      </w:tr>
      <w:tr>
        <w:trPr>
          <w:trHeight w:val="142"/>
        </w:trPr>
        <w:tc>
          <w:tcPr>
            <w:tcW w:w="7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(266)</w:t>
            </w:r>
          </w:p>
        </w:tc>
      </w:tr>
      <w:tr>
        <w:trPr>
          <w:trHeight w:val="148"/>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divestiture, net of cash transferred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96,615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00" w:type="dxa"/>
            <w:vAlign w:val="bottom"/>
            <w:shd w:val="clear" w:color="auto" w:fill="CFF0FC"/>
          </w:tcPr>
          <w:p>
            <w:pPr>
              <w:spacing w:after="0"/>
              <w:rPr>
                <w:sz w:val="12"/>
                <w:szCs w:val="12"/>
                <w:color w:val="auto"/>
              </w:rPr>
            </w:pPr>
          </w:p>
        </w:tc>
      </w:tr>
      <w:tr>
        <w:trPr>
          <w:trHeight w:val="149"/>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available-for-sale securities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(61,158)</w:t>
            </w:r>
          </w:p>
        </w:tc>
        <w:tc>
          <w:tcPr>
            <w:tcW w:w="200" w:type="dxa"/>
            <w:vAlign w:val="bottom"/>
          </w:tcPr>
          <w:p>
            <w:pPr>
              <w:spacing w:after="0"/>
              <w:rPr>
                <w:sz w:val="12"/>
                <w:szCs w:val="12"/>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(8,628)</w:t>
            </w:r>
          </w:p>
        </w:tc>
      </w:tr>
      <w:tr>
        <w:trPr>
          <w:trHeight w:val="148"/>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maturities of investments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133,841</w:t>
            </w:r>
          </w:p>
        </w:tc>
        <w:tc>
          <w:tcPr>
            <w:tcW w:w="100" w:type="dxa"/>
            <w:vAlign w:val="bottom"/>
            <w:shd w:val="clear" w:color="auto" w:fill="CFF0FC"/>
          </w:tcPr>
          <w:p>
            <w:pPr>
              <w:spacing w:after="0"/>
              <w:rPr>
                <w:sz w:val="12"/>
                <w:szCs w:val="12"/>
                <w:color w:val="auto"/>
              </w:rPr>
            </w:pPr>
          </w:p>
        </w:tc>
      </w:tr>
      <w:tr>
        <w:trPr>
          <w:trHeight w:val="142"/>
        </w:trPr>
        <w:tc>
          <w:tcPr>
            <w:tcW w:w="7140" w:type="dxa"/>
            <w:vAlign w:val="bottom"/>
            <w:tcBorders>
              <w:top w:val="single" w:sz="8" w:color="CFF0FC"/>
            </w:tcBorders>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240" w:type="dxa"/>
            <w:vAlign w:val="bottom"/>
            <w:tcBorders>
              <w:top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35,419</w:t>
            </w:r>
          </w:p>
        </w:tc>
        <w:tc>
          <w:tcPr>
            <w:tcW w:w="260" w:type="dxa"/>
            <w:vAlign w:val="bottom"/>
            <w:tcBorders>
              <w:top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125,993</w:t>
            </w:r>
          </w:p>
        </w:tc>
        <w:tc>
          <w:tcPr>
            <w:tcW w:w="100" w:type="dxa"/>
            <w:vAlign w:val="bottom"/>
            <w:tcBorders>
              <w:top w:val="single" w:sz="8" w:color="CFF0FC"/>
            </w:tcBorders>
          </w:tcPr>
          <w:p>
            <w:pPr>
              <w:spacing w:after="0"/>
              <w:rPr>
                <w:sz w:val="12"/>
                <w:szCs w:val="12"/>
                <w:color w:val="auto"/>
              </w:rPr>
            </w:pPr>
          </w:p>
        </w:tc>
      </w:tr>
      <w:tr>
        <w:trPr>
          <w:trHeight w:val="142"/>
        </w:trPr>
        <w:tc>
          <w:tcPr>
            <w:tcW w:w="7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Repayments of senior secured term loan facilities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(75,000)</w:t>
            </w: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Payment of senior secured term loan facilities pay-off premium and fees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(5,550)</w:t>
            </w:r>
          </w:p>
        </w:tc>
        <w:tc>
          <w:tcPr>
            <w:tcW w:w="20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Repayments of finance lease liabilities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(40)</w:t>
            </w:r>
          </w:p>
        </w:tc>
      </w:tr>
      <w:tr>
        <w:trPr>
          <w:trHeight w:val="148"/>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payroll taxes on restricted stock unit releases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(69)</w:t>
            </w:r>
          </w:p>
        </w:tc>
        <w:tc>
          <w:tcPr>
            <w:tcW w:w="200" w:type="dxa"/>
            <w:vAlign w:val="bottom"/>
          </w:tcPr>
          <w:p>
            <w:pPr>
              <w:spacing w:after="0"/>
              <w:rPr>
                <w:sz w:val="12"/>
                <w:szCs w:val="12"/>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(354)</w:t>
            </w:r>
          </w:p>
        </w:tc>
      </w:tr>
      <w:tr>
        <w:trPr>
          <w:trHeight w:val="14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paid to non-controlling interest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(5,353)</w:t>
            </w:r>
          </w:p>
        </w:tc>
        <w:tc>
          <w:tcPr>
            <w:tcW w:w="2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Payment of issuance cost under ATM Program</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issuance of common stock under employee stock plans</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FF0FC"/>
          </w:tcPr>
          <w:p>
            <w:pPr>
              <w:spacing w:after="0"/>
              <w:rPr>
                <w:sz w:val="12"/>
                <w:szCs w:val="12"/>
                <w:color w:val="auto"/>
              </w:rPr>
            </w:pPr>
          </w:p>
        </w:tc>
      </w:tr>
      <w:tr>
        <w:trPr>
          <w:trHeight w:val="142"/>
        </w:trPr>
        <w:tc>
          <w:tcPr>
            <w:tcW w:w="7140" w:type="dxa"/>
            <w:vAlign w:val="bottom"/>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(86,028)</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2"/>
                <w:szCs w:val="12"/>
                <w:color w:val="auto"/>
              </w:rPr>
            </w:pPr>
          </w:p>
        </w:tc>
      </w:tr>
      <w:tr>
        <w:trPr>
          <w:trHeight w:val="142"/>
        </w:trPr>
        <w:tc>
          <w:tcPr>
            <w:tcW w:w="7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Effect of exchange rate change on cash and cash equivalents</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1,077</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Net decrease in cash and cash equivalents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(54,306)</w:t>
            </w:r>
          </w:p>
        </w:tc>
        <w:tc>
          <w:tcPr>
            <w:tcW w:w="200" w:type="dxa"/>
            <w:vAlign w:val="bottom"/>
          </w:tcPr>
          <w:p>
            <w:pPr>
              <w:spacing w:after="0"/>
              <w:rPr>
                <w:sz w:val="12"/>
                <w:szCs w:val="12"/>
                <w:color w:val="auto"/>
              </w:rPr>
            </w:pPr>
          </w:p>
        </w:tc>
        <w:tc>
          <w:tcPr>
            <w:tcW w:w="1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(11,510)</w:t>
            </w:r>
          </w:p>
        </w:tc>
      </w:tr>
      <w:tr>
        <w:trPr>
          <w:trHeight w:val="148"/>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cash and cash equivalents at beginning of period</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102,178</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113,688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 cash and cash equivalents at end of period</w:t>
            </w:r>
          </w:p>
        </w:tc>
        <w:tc>
          <w:tcPr>
            <w:tcW w:w="4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47,872</w:t>
            </w:r>
          </w:p>
        </w:tc>
        <w:tc>
          <w:tcPr>
            <w:tcW w:w="260" w:type="dxa"/>
            <w:vAlign w:val="bottom"/>
          </w:tcPr>
          <w:p>
            <w:pPr>
              <w:spacing w:after="0"/>
              <w:rPr>
                <w:sz w:val="12"/>
                <w:szCs w:val="12"/>
                <w:color w:val="auto"/>
              </w:rPr>
            </w:pP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102,178</w:t>
            </w:r>
          </w:p>
        </w:tc>
        <w:tc>
          <w:tcPr>
            <w:tcW w:w="100" w:type="dxa"/>
            <w:vAlign w:val="bottom"/>
          </w:tcPr>
          <w:p>
            <w:pPr>
              <w:spacing w:after="0"/>
              <w:rPr>
                <w:sz w:val="12"/>
                <w:szCs w:val="12"/>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7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Holdback consideration receivable related to divestiture in prepaid expenses and other current assets</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payments</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7,830</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16,207</w:t>
            </w:r>
          </w:p>
        </w:tc>
        <w:tc>
          <w:tcPr>
            <w:tcW w:w="100" w:type="dxa"/>
            <w:vAlign w:val="bottom"/>
            <w:shd w:val="clear" w:color="auto" w:fill="CFF0FC"/>
          </w:tcPr>
          <w:p>
            <w:pPr>
              <w:spacing w:after="0"/>
              <w:rPr>
                <w:sz w:val="12"/>
                <w:szCs w:val="12"/>
                <w:color w:val="auto"/>
              </w:rPr>
            </w:pPr>
          </w:p>
        </w:tc>
      </w:tr>
      <w:tr>
        <w:trPr>
          <w:trHeight w:val="148"/>
        </w:trPr>
        <w:tc>
          <w:tcPr>
            <w:tcW w:w="7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and cash equivalents to the consolidated balance sheets:</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and cash equivalents of continuing operations</w:t>
            </w:r>
          </w:p>
        </w:tc>
        <w:tc>
          <w:tcPr>
            <w:tcW w:w="4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47,872</w:t>
            </w:r>
          </w:p>
        </w:tc>
        <w:tc>
          <w:tcPr>
            <w:tcW w:w="260" w:type="dxa"/>
            <w:vAlign w:val="bottom"/>
          </w:tcPr>
          <w:p>
            <w:pPr>
              <w:spacing w:after="0"/>
              <w:rPr>
                <w:sz w:val="12"/>
                <w:szCs w:val="12"/>
                <w:color w:val="auto"/>
              </w:rPr>
            </w:pP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50,482</w:t>
            </w:r>
          </w:p>
        </w:tc>
        <w:tc>
          <w:tcPr>
            <w:tcW w:w="100" w:type="dxa"/>
            <w:vAlign w:val="bottom"/>
          </w:tcPr>
          <w:p>
            <w:pPr>
              <w:spacing w:after="0"/>
              <w:rPr>
                <w:sz w:val="12"/>
                <w:szCs w:val="12"/>
                <w:color w:val="auto"/>
              </w:rPr>
            </w:pPr>
          </w:p>
        </w:tc>
      </w:tr>
      <w:tr>
        <w:trPr>
          <w:trHeight w:val="149"/>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cash equivalents included in assets held for sale</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51,696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 cash and cash equivalents in the consolidated statements of cash flows</w:t>
            </w:r>
          </w:p>
        </w:tc>
        <w:tc>
          <w:tcPr>
            <w:tcW w:w="4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47,872</w:t>
            </w:r>
          </w:p>
        </w:tc>
        <w:tc>
          <w:tcPr>
            <w:tcW w:w="260" w:type="dxa"/>
            <w:vAlign w:val="bottom"/>
          </w:tcPr>
          <w:p>
            <w:pPr>
              <w:spacing w:after="0"/>
              <w:rPr>
                <w:sz w:val="12"/>
                <w:szCs w:val="12"/>
                <w:color w:val="auto"/>
              </w:rPr>
            </w:pP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102,178</w:t>
            </w:r>
          </w:p>
        </w:tc>
        <w:tc>
          <w:tcPr>
            <w:tcW w:w="100" w:type="dxa"/>
            <w:vAlign w:val="bottom"/>
          </w:tcPr>
          <w:p>
            <w:pPr>
              <w:spacing w:after="0"/>
              <w:rPr>
                <w:sz w:val="12"/>
                <w:szCs w:val="12"/>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-3154045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-2382520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-1435100</wp:posOffset>
            </wp:positionV>
            <wp:extent cx="93980" cy="1365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-1435100</wp:posOffset>
            </wp:positionV>
            <wp:extent cx="93980" cy="136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-1216660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-1019810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-325120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-128270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KYNTRA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Kyntra Bio, Inc. (“Kyntra Bio” or the “Company”) is a biopharmaceutical company focused on development of novel therapies at the frontiers of cancer biology and anemia.</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January 2026, the Company announced its rebranding from “FibroGen, Inc.” to “Kyntra Bio, Inc.”, representing the next step of its transformation and focus on oncology and associated rare disease indications. On January 8, 2026, the Company’s common stock began trading under the new Nasdaq symbol “KYNB.”</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is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The Company initiated a Phase 2 monotherapy dose optimization study of FG-3246 for the treatment of mCRPC, along with the exploratory sub-study of FG-3180, in the third quarter of 2025.</w:t>
      </w:r>
    </w:p>
    <w:p>
      <w:pPr>
        <w:spacing w:after="0" w:line="187" w:lineRule="exact"/>
        <w:rPr>
          <w:sz w:val="20"/>
          <w:szCs w:val="20"/>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The Company and its collaboration partners developed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which is currently approved in Europe, Japan, the People’s Republic of China (“China”), and numerous other countries for the treatment of anemia in chronic kidney disease (“CKD”) patients on dialysis and not on dialysis.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August 29, 2025, the Company closed the sale of its China operations through FibroGen International (Hong Kong) Ltd. (“FibroGen International”) to AstraZeneca Treasury Limited pursuant to the share purchase agreement entered into by the Company and AstraZeneca Treasury Limited on February 20, 2025, as amended (the “Share Purchase Agreement”) for a total consideration of $220.4 million comprised of $85.0 million in enterprise value and $135.4 million in net cash held in China. AstraZeneca AB (“AstraZeneca”) was the Company’s long-time commercialization partner for roxadustat in greater China. This sale included all of its roxadustat assets in China, including FibroGen International’s subsidiary FibroGen (China) Medical Technology Development Co., Ltd (“FibroGen Beijing”) and its 51.1% interest in Beijing Falikang Pharmaceutical Co. Ltd. (“Falikang”). For additional details, refer to Note 3, </w:t>
      </w:r>
      <w:r>
        <w:rPr>
          <w:rFonts w:ascii="Times New Roman" w:cs="Times New Roman" w:eastAsia="Times New Roman" w:hAnsi="Times New Roman"/>
          <w:sz w:val="18"/>
          <w:szCs w:val="18"/>
          <w:i w:val="1"/>
          <w:iCs w:val="1"/>
          <w:color w:val="auto"/>
        </w:rPr>
        <w:t>Discontinued Operations and Divestiture.</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Company has retained the rights to roxadustat in the United States of America (“U.S.”), Canada, Mexico, and in all markets not held by AstraZeneca or licensed to Astellas Pharma Inc. (“Astellas”).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continues to advance its development plan for roxadustat in anemia associated with lower-risk myelodysplastic syndromes (“MDS”), a high-value indication with significant unmet medical need. The Company had a positive Type-C meeting with the U.S. Food and Drug Administration (“FDA”) in July 2025 and reached alignment on several elements of its proposed Phase 3 study design for roxadustat in anemia associated with lower-risk MDS, including the starting dose and the patient inclusion criteria. The Company is starting preparations for the Phase 3 trial, while evaluating internal development and potential partnership opportunities for this late-stage program. The Company submitted the Phase 3 trial protocol for roxadustat for the treatment of anemia in patients with lower-risk MDS and high transfusion burden to the FDA in December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granted Roxadustat Orphan Drug Designation for the treatment of MDS in December 2025.</w:t>
      </w:r>
    </w:p>
    <w:p>
      <w:pPr>
        <w:spacing w:after="0" w:line="329" w:lineRule="exact"/>
        <w:rPr>
          <w:sz w:val="20"/>
          <w:szCs w:val="20"/>
          <w:color w:val="auto"/>
        </w:rPr>
      </w:pPr>
    </w:p>
    <w:p>
      <w:pPr>
        <w:ind w:right="7480" w:firstLine="8"/>
        <w:spacing w:after="0" w:line="378" w:lineRule="auto"/>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U.S. (“U.S. GAAP”). The consolidated financial statements include the accounts of the Company, its wholly owned subsidiaries and its majority-owned subsidiaries, as well as any variable interest entity (“VIE”) for which Kyntra Bio is the primary beneficiary. All inter-company transactions and balances have been eliminated in consolidation.</w:t>
      </w:r>
    </w:p>
    <w:p>
      <w:pPr>
        <w:spacing w:after="0" w:line="180" w:lineRule="exact"/>
        <w:rPr>
          <w:sz w:val="20"/>
          <w:szCs w:val="20"/>
          <w:color w:val="auto"/>
        </w:rPr>
      </w:pPr>
    </w:p>
    <w:p>
      <w:pPr>
        <w:jc w:val="center"/>
        <w:ind w:right="220"/>
        <w:spacing w:after="0" w:line="407" w:lineRule="auto"/>
        <w:rPr>
          <w:sz w:val="20"/>
          <w:szCs w:val="20"/>
          <w:color w:val="auto"/>
        </w:rPr>
      </w:pPr>
      <w:r>
        <w:rPr>
          <w:rFonts w:ascii="Times New Roman" w:cs="Times New Roman" w:eastAsia="Times New Roman" w:hAnsi="Times New Roman"/>
          <w:sz w:val="18"/>
          <w:szCs w:val="18"/>
          <w:color w:val="auto"/>
        </w:rPr>
        <w:t>The Company operates in one reportable segment — the development and commercialization of novel therapeutics to treat serious unmet medical needs.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20, 2025, the Company entered into the Share Purchase Agreement with AstraZeneca Treasury Limited pursuant to which the Company and its subsidiary FibroGen China Anemia Holdings, Ltd. agreed to sell all of the issued and outstanding equity interests of FibroGen International to AstraZeneca Treasury Limited (the “Transaction”). This sale includes all of the Company’s roxadustat assets in China, including FibroGen International’s subsidiary FibroGen Beijing and its 51.1% interest in Falikang. The Transaction was closed on August 29, 2025 for a total consideration of $220.4 million, subject to certain customary adjustments as set forth in the purchase agreement, comprised of $85.0 million in enterprise value and $135.4 million in net cash held in China.</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Company analyzed the quantitative and qualitative factors and concluded that the sale of FibroGen International represents a strategic shift in the Company’s business and qualified as a discontinued operation since December 31, 2024. As a result, the Company determined that FibroGen International met the “held for sale” criteria and the “discontinued operations” criteria in accordance with Financial Accounting Standard Board (“FASB”)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Accordingly, the operating results related to FibroGen International are classified as discontinued operations, and have been reflected as discontinued operations in the consolidated statements of operations for all periods presented, and therefore, the consolidated statements of operations and the notes to the consolidated financial statements were recasted for all comparative periods presented to classify FibroGen International as discontinued operations. In addition, the related assets and liabilities were classified within the consolidated balance sheets as held for sale for each balance sheet date before the Transaction closed since December 31, 2024. See Note 3,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and Divestiture</w:t>
      </w:r>
      <w:r>
        <w:rPr>
          <w:rFonts w:ascii="Times New Roman" w:cs="Times New Roman" w:eastAsia="Times New Roman" w:hAnsi="Times New Roman"/>
          <w:sz w:val="18"/>
          <w:szCs w:val="18"/>
          <w:color w:val="auto"/>
        </w:rPr>
        <w:t>, for related disclosures. Unless otherwise noted, discussion in the notes to the consolidated financial statements, relates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to the Company’s continuing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June 16, 2025, the Company effected a 1-for-25 reverse stock split (the “Reverse Stock Split”). The Reverse Stock Split reduced the number of issued and outstanding shares of common stock from approximately 101.1 million shares to approximately 4.0 million shares. Proportionate adjustments have been made to the number of shares available for issuance under the Company’s equity incentive plans as well as outstanding equity awards, in accordance with their respective terms. All share amounts have been retroactively adjusted in the consolidated financial statements and the notes to the consolidated financial statements, where applicable, to reflect the Reverse Stock Split.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U.S. GAAP applicable to a going concern, which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disclosed in previous filings (including the September 30, 2024 Form 10-Q and subsequent December 31, 2024 Form 10-K, March 31, 2025 Form 10-Q and June 30, 2025 Form 10-Q), if the Company was unable to complete the above mentioned sale of FibroGen International, access additional cash from its China operations, or raise additional capital in the U.S., the Company would not have sufficient liquidity to continue operations in the U.S. for the 12 months from the date that the financial statements were issued and would not be able to comply with its financial covenant that required a minimum balance of unrestricted cash and cash equivalents to be held in accounts in the U.S. Upon an event of default, the Company’s senior secured term loan facilities with Morgan Stanley Tactical Value (“MSTV”) would become immediately due and payable. These factors had raised substantial doubt about the Company’s ability to continue as a going concern.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August 29, 2025, upon the Transaction close, the Company received cash for the sale of $210.4 million and repaid its senior secured term loan facilities with MSTV, outstanding interest and related premium and fees for approximately $80.9 million. With the cash proceeds from the Transaction close, based on its current operating plan, the Company believes that its existing cash and cash equivalents will be sufficient to fund the Company’s planned operating requirements for at least the 12 months following the issuance of the financial statements for December 31, 2025 and concluded that the conditions and events that initially raised substantial doubt have been alleviated and that substantial doubt does not exist as of issuance.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functional currency of FibroGen Europe is the Euro. The functional currency of FibroGen Beijing, a part of the above-mentioned discontinued operations, is CNY. As such, monetary assets and liabilities of FibroGen Europe and FibroGen Beijing in currencies other than their functional currencies are remeasured using exchange rates in effect at the end of the period. The assets and liabilities of FibroGen Europe and FibroGen Beijing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 (deficit).</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functional currency of Kyntra Bio,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(as defined and discussed under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below), which was completed during the third quarter of 2025 upon the above-mentioned Transaction close. On an ongoing basis, management reviews these estimates and assumptions. Changes in facts and circumstances may alter such estimates and actual results could differ from those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subject to risks associated with concentration of credit for cash and cash equivalents. Outside of short-term operating needs, cash on hand is invested in commercial paper, money market funds and U.S. government securities. Any remaining cash is deposited with major financial institutions primarily in the U.S. At times, such deposits may be in excess of insured limits. The Company has not experienced any loss on its deposits of cash and cash equivalents. As of December 31, 2025 and 2024, the accounts receivable was not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 Cash and cash equivalents also include certain money market accounts, commercial paper and U.S. government securities.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Company’s short-term investments consist of diversified bonds, commercial paper, and money market funds with original maturities of greater than three months and remaining maturities of less than 12 months (365 days) are considered. Any investments with maturities greater than 12 months (365 days) from the balance sheet date are considered long-term investments. When such investments are held,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Realized and unrealized gains or losses resulting from changes in value and sale of the Company’s marketable equity investments are recorded in other income (expenses) in the consolidated statement of operations.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accounts receivable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based on the Company’s assessment of the collectability of customer accounts. The Company makes estimates of expected credit losses for the allowance for doubtful accounts by considering factors such as historical experience, credit quality, the age of the accounts receivable balances, current economic and regulatory conditions that may affect a customer’s ability to pay, and estimates of expected future losses. The Company’s bad debt expense for the years ended December 31, 2025 and 2024 and the allowance for credit losses as of December 31, 2025 and 2024 were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losses – Available-for-sale debt securities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periodically assesses its available-for-sale investments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interest and other, net.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interest and other, net, limited by the amount that the fair value is less than the amortized cost basis. Any additional impairment not recorded through an allowance for credit losses is recognized in other comprehensive income.</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provision for, or reversal of, credit loss expense. Losses are charged against the allowance when the Company believes that an available-for-sale security is confirmed uncollectable or when either of the criteria regarding intent or requirement to sell is met.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or FIFO, basis. The Company’s inventories uses actual costs to determine its cost basis. The cost of inventories includes direct material cost, direct labor and manufacturing overhead.</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When the technical feasibility of the Company’s future commercialization is considered probable and the future economic benefit is expected to be realized, based on management’s judgment, the Company capitalizes pre-launch inventory costs prior to regulatory approval. A number of factors are considered, including the status in the validation process in significant jurisdictions, regulatory application and approval process, and terms and condition for future sale of such inventory or future alternative use. The pre-launch inventory cost includes purchase cost of raw materials, cost paid to contract manufacturers for inventory manufacturing, freight and custom charges, and certain direct internal labor and overhead expenses.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81" w:name="page82"/>
    <w:bookmarkEnd w:id="81"/>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inventories to identify obsolete, slow-moving, excess or otherwise unsaleable items. If obsolete, excess or unsaleable items are observed and there are no alternate uses for the inventory, an inventory valuation adjustment is recorded through a charge to cost of goods sold on the Company’s consolidated statements of operations. Inventory valuation adjustments require judgment including consideration of many factors, such as estimates of future product demand and product expiration period, among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the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when the Company obtains an economic interest in an entity, it evaluates the entity to determine if it should be deemed a VIE, and, if so, whether the Company is the primary beneficiary and is therefore required to consolidate the VIE, based on significant judgment whether the Company (i) has the power to direct the activities that most significantly impact the economic performance of the VIE and (ii) has the obligation to absorb losses or the right to receive benefits of the VIE that could potentially be significant to the VIE.</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an ongoing basis, the Company re-evaluates the VIE assessment based on potential changes in facts and circumstances, including but not limited to, the shareholder loans to the entity and the execution of any future significant agreements between the entity and its shareholders and/or other third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Related to Sale of Future Revenues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sale of future revenue as a debt, because the risks and rewards to the investor are limited by the terms of the transaction as discussed further in Note 9,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The difference between the carrying amount of the initial liability and the gross proceeds received is accounted for as a discount. The Company recognizes interest expense based on an estimated effective annual interest rate, which is affected by the amount and timing of revenues recognized and changes in the timing of forecasted revenues. Quarterly, the Company reassesses the expected revenues and the timing of such revenues, recalculates the amortization and effective interest rate and adjusts the accounting prospectively as needed.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under collaboration agreements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4,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 and Revenues</w:t>
      </w:r>
      <w:r>
        <w:rPr>
          <w:rFonts w:ascii="Times New Roman" w:cs="Times New Roman" w:eastAsia="Times New Roman" w:hAnsi="Times New Roman"/>
          <w:sz w:val="18"/>
          <w:szCs w:val="18"/>
          <w:color w:val="auto"/>
        </w:rPr>
        <w:t>. Determining the performance obligations within a collaboration agreement often involves significant judgment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to the facts and circumstances contained in each agreement.</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identified the following material promises under its collaboration agreements: (1) license of the Company’s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revenue recognition purposes, the Company determines that the terms of its collaboration agreements begin on the effective date and end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payments from sales of active pharmaceutical ingredient (“API”); payments from sales of bulk drug product and royalties on net sales of licensed products.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spacing w:after="0" w:line="266" w:lineRule="auto"/>
        <w:rPr>
          <w:sz w:val="20"/>
          <w:szCs w:val="20"/>
          <w:color w:val="auto"/>
        </w:rPr>
      </w:pPr>
      <w:r>
        <w:rPr>
          <w:rFonts w:ascii="Times New Roman" w:cs="Times New Roman" w:eastAsia="Times New Roman" w:hAnsi="Times New Roman"/>
          <w:sz w:val="18"/>
          <w:szCs w:val="18"/>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Co-development billings resulting from the Company’s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Prior to CKD approval in the third quarter of 2021, determining the amount of variable consideration from co-development billings required the Company to make estimates of future research and development efforts, which involved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Milestones are therefore included in the transaction price when achievement of the milestone becomes probable.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each performance obligation identified within an arrangement, the Company determines the period over which the promised services are transferred and the performance obligation is satisfied. Service revenue that was recognized over time was based on progress toward complete satisfaction of the performance obligation. For each performance obligation satisfied over time, the Company assesses the proper method to be used for revenue recognition, either an input method to measure progress toward the satisfaction of services or an output method of determining the progress of completion of performance obligation.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product revenue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AstraZeneca and Astellas in support of pre-commercial preparation prior to the New Drug Application (“NDA”) or Marketing Authorization Application approval, and to Astellas for ongoing commercial activities in Japan and Europe. Drug product revenue is recognized when the Company fulfills the inventory transfer obligations.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The Company reviews new information that may affect its variable consideration estimate at every reporting period and records revenue adjustment, if certain and material. Actual amounts of consideration ultimately received in the future may differ from the Company’s estimates, for which the Company will adjust these estimates and affect the drug product revenue in the period such variances become known.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each of the Company’s collaboration agreements provide for annual true up to the considerations paid for its commercial supplies, the Company will re-evaluate the transaction price in each reporting period and record adjustment to revenue as uncertain events are resolved or other changes in circumstances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Performance Obligation</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Product revenue, net, which is included in the discontinued operations, consists primarily of revenues from sales of roxadustat commercial product to Falikang. Falikang is jointly owned by AstraZeneca and FibroGen Beijing.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Falikang is FibroGen Beijing’s primary customer in China and substantially all roxadustat product sales to distributors in China are made by Falikang.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Falikang bears inventory risk once it receives and accepts the product from FibroGen Beijing, and is responsible for delivering product to its distributors.</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promises identified under the AstraZeneca China Agreement (as defined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including the license, co-development services and manufacturing of commercial supplies have been bundled into a single performance obligation (“China Performance Obligation”). Amounts of the transaction price allocable to this performance obligation under the Company’s agreements with AstraZeneca as outlined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are deferred until control of the manufactured commercial product is transferred to AstraZeneca.</w:t>
      </w:r>
    </w:p>
    <w:p>
      <w:pPr>
        <w:spacing w:after="0" w:line="18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initiation of roxadustat sales to Falikang marks the beginning of the China Performance Obligation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the Company determined it is likely those sales would occur. The price per unit is subject to reassessment on a quarterly basis, which may result in cumulative catch up adjustments due to changes in estimates.</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520" w:right="3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Non-refundable upfront license fees; development, regulatory, and commercial milestone payments based on the AstraZeneca China Agreement allocated to the China Performance Obligation;</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billings resulting from the Company’s research and development efforts, which are reimbursable under the AstraZeneca China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profit/loss share between FibroGen Beijing and AstraZeneca from April 1, 2020 through December 31, 2020;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transaction price from product sales to Falikang from January 1, 2021 onwards. The net transaction price includes the following elements:</w:t>
      </w:r>
    </w:p>
    <w:p>
      <w:pPr>
        <w:spacing w:after="0" w:line="117" w:lineRule="exact"/>
        <w:rPr>
          <w:rFonts w:ascii="Times New Roman" w:cs="Times New Roman" w:eastAsia="Times New Roman" w:hAnsi="Times New Roman"/>
          <w:sz w:val="18"/>
          <w:szCs w:val="18"/>
          <w:color w:val="auto"/>
        </w:rPr>
      </w:pPr>
    </w:p>
    <w:p>
      <w:pPr>
        <w:ind w:left="1020" w:right="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oGross transaction price: The gross transaction price is based on a percentage of Falikang’s net sales to its distributors, which takes into account Falikang’s operating expenses and its payments to AstraZeneca for roxadustat sales and marketing efforts, capped at a percentage of Falikang’s net roxadustat sales.</w:t>
      </w:r>
    </w:p>
    <w:p>
      <w:pPr>
        <w:spacing w:after="0" w:line="67" w:lineRule="exact"/>
        <w:rPr>
          <w:rFonts w:ascii="Times New Roman" w:cs="Times New Roman" w:eastAsia="Times New Roman" w:hAnsi="Times New Roman"/>
          <w:sz w:val="18"/>
          <w:szCs w:val="18"/>
          <w:color w:val="auto"/>
        </w:rPr>
      </w:pPr>
    </w:p>
    <w:p>
      <w:pPr>
        <w:ind w:left="1020" w:right="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oProfit share: The gross transaction price is then adjusted for an estimated amount to achieve the 50/50 profit share from current period roxadustat net sales in China. The adjustments to date have been a reduction to the transaction price and the related accounts receivable from Falikang.</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significant assumptions such as total sales quantity, performance period, gross transaction price and profit share, which require significant judgment.</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Any net transaction price in excess of the revenue recognized is deferred, and will be recognized over future periods as the performance obligations are satisfied. As of December 31, 2024, the related deferred revenues were not included in the disposal group held for sale as the related obligation to AstraZeneca would be satisfied upon the closing of the divestiture FibroGen International. The divestiture of FibroGen International was completed on August 29, 2025 and accordingly, the performance obligation to AstraZeneca was completely satisfied upon the closing of the divestiture. As a result, all the previously deferred revenues were recognized as revenue during the year ended December 31, 2025. The product revenue recognized under the China Performance Obligation is included in discontinued operations for all periods presented. See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xml:space="preserve"> for more details.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independent research and development costs and the gross amount of costs associated with work performed under collaboration agreements. Research and development costs include employee-related expenses, expenses incurred under agreements with clinical research organizations, other clinical and preclinical costs and allocated direct and indirect overhead costs, such as facilities costs, information technology costs and other overhead. All research and development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recruiting fees and expenses associated with obtaining and maintaining patents.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Restructuring Charge</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restructuring charge is recognized when the liability is incurred and accrued in the period in which it is probable that the employees are entitled to the restructuring benefits and the amounts can be reasonably estimated. The restructuring liability accrued but not paid at the end of the reporting period is included in accrued and other current liabilities in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adopted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includes interest and penalties related to unrecognized tax benefits within income tax expense in the Consolidated Statements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maintains equity incentive plans under which equity awards are granted to employees, which are comprised of stock options, service-based restricted stock units (“RSUs”), performance-based RSUs (“PRSUs”), and total shareholder return (“TSR”) awards.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 options, RSUs and PRSUs granted to its employees and directors based on the estimated fair value of the award on the grant date. The Company uses the Black-Scholes valuation model to estimate the fair value of stock option awards. The determination of the grant date fair value of options using the Black-Scholes valuation model is affected by the Company’s estimated common stock fair value and requires management to make a number of assumptions including the expected life of the option, the volatility of the underlying stock, the risk-free interest rate and expected dividends. The Company determines the fair value of RSUs and PRSUs using the fair value of its common stock on the date of grant. To estimate the fair value of the TSR awards, the Company uses the Monte Carlo valuation model to simulate the probabilities of achievement, which requires management to make a number of assumptions including 30-day average price, volatility of the underlying stock and the Company’s peers, and the risk-free interest rate.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6" w:name="page87"/>
    <w:bookmarkEnd w:id="86"/>
    <w:p>
      <w:pPr>
        <w:ind w:right="20"/>
        <w:spacing w:after="0" w:line="261" w:lineRule="auto"/>
        <w:rPr>
          <w:sz w:val="20"/>
          <w:szCs w:val="20"/>
          <w:color w:val="auto"/>
        </w:rPr>
      </w:pPr>
      <w:r>
        <w:rPr>
          <w:rFonts w:ascii="Times New Roman" w:cs="Times New Roman" w:eastAsia="Times New Roman" w:hAnsi="Times New Roman"/>
          <w:sz w:val="18"/>
          <w:szCs w:val="18"/>
          <w:color w:val="auto"/>
        </w:rPr>
        <w:t>The compensation cost of service-based stock options and restricted stock units is recognized net of any estimated forfeitures on a straight-line basis over the employee requisite service period. Compensation cost for PRSUs is expensed over the respective vesting periods when the achievement of performance criteria is probable. Compensation cost for the TSR awards is recognized over the requisite service period, regardless of when, if ever, the market condition is satisfied.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fair value of stock options granted to non-employees is more reliably measured than the fair value of the services received.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required to report all components of comprehensive income (loss), including net income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adopted this guidance in 2025 using a prospective transition method. The adoption resulted in expanded disclosures and did not have a material impact on the Company's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requires entities to disaggregate operating expenses into specific categories to provide enhanced transparency into the nature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 of expenses. This guidance is effective for fiscal years beginning after December 15, 2026, and for interim periods within fiscal years beginning after December 15, 2027, with early adoption permitted. This guidance should be applied either prospectively to financial statements issued for reporting periods after the effective date or retrospectively to any or all prior periods presented in the financial statements. The Company is currently in the process of evaluating the effects of this guidance on its related disclosures.</w:t>
      </w:r>
    </w:p>
    <w:p>
      <w:pPr>
        <w:spacing w:after="0" w:line="288"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 and Divestiture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February 20, 2025, the Company entered into the Share Purchase Agreement with AstraZeneca Treasury Limited, pursuant to which the Company and its subsidiary FibroGen China Anemia Holdings, Ltd. agreed to sell all of the issued and outstanding equity interests of FibroGen International to AstraZeneca Treasury Limited. This sale includes all of the Company’s roxadustat assets in China, including FibroGen International’s subsidiary FibroGen Beijing and its 51.1% interest in Falikang. The Company determined that FibroGen International met the “held for sale” criteria and the “discontinued operations” criteria in accordance with FASB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as of December 31, 2024. Accordingly, the operating results related to the FibroGen International are classified as discontinued operations, and have been reflected as discontinued operations in the consolidated statements of operations, while the related assets and liabilities were classified within the consolidated balance sheets as held for sale for all periods presented.</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Transaction was closed on August 29, 2025 for a total consideration of $220.4 million comprised of $85.0 million in cash for the enterprise value of FibroGen International and $135.4 million in net cash held in China. The total consideration included a $210.4 million in cash paid at closing, and a total of $10.0 million cash payable by AstraZeneca at the closing subject to holdbacks of: (i) a $6.0 million holdback to offset final net cash adjustments which will be released following a customary adjustment process approximately 90 days post-closing (as such time may be extended for the parties to mutually agree upon final adjustments), and (ii) a $4.0 million holdback to satisfy any indemnity claims, which will be released, net of any claims paid or unresolved, nine months after the closing. The Company does not expect such adjustments to be material, therefore have recorded the $10.0 million as other receivable, which were included in the prepaid expenses and other current assets on the consolidated balance sheets. On November 6, 2025, the Company received a $6.4 million payment from AstraZeneca, which is in full satisfaction of the first holdback of $6.0 million, plus $0.4 million that was an additional payment following the final net cash adjustments after closing.</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7" w:name="page88"/>
    <w:bookmarkEnd w:id="87"/>
    <w:p>
      <w:pPr>
        <w:ind w:right="340"/>
        <w:spacing w:after="0" w:line="282" w:lineRule="auto"/>
        <w:rPr>
          <w:sz w:val="20"/>
          <w:szCs w:val="20"/>
          <w:color w:val="auto"/>
        </w:rPr>
      </w:pPr>
      <w:r>
        <w:rPr>
          <w:rFonts w:ascii="Times New Roman" w:cs="Times New Roman" w:eastAsia="Times New Roman" w:hAnsi="Times New Roman"/>
          <w:sz w:val="18"/>
          <w:szCs w:val="18"/>
          <w:color w:val="auto"/>
        </w:rPr>
        <w:t>The financial results of the discontinued operations with respect to FibroGen International reflected in the consolidated statements of operations for the years ended December 31, 2025 and 2024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226,651</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(11,683)</w:t>
            </w: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divestiture</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(11,260)</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239,173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income in unconsolidated variable interest entity</w:t>
            </w:r>
          </w:p>
        </w:tc>
        <w:tc>
          <w:tcPr>
            <w:tcW w:w="9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tax</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241,656</w:t>
            </w:r>
          </w:p>
        </w:tc>
        <w:tc>
          <w:tcPr>
            <w:tcW w:w="180" w:type="dxa"/>
            <w:vAlign w:val="bottom"/>
          </w:tcPr>
          <w:p>
            <w:pPr>
              <w:spacing w:after="0"/>
              <w:rPr>
                <w:sz w:val="18"/>
                <w:szCs w:val="18"/>
                <w:color w:val="auto"/>
              </w:rPr>
            </w:pP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-1585595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-744855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-454025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 product revenue, net, consists primarily of revenues from sales of roxadustat commercial product to Falikang, a distribution entity jointly owned by AstraZeneca and FibroGen Beijing, and is discussed in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Revenues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gain on divestiture of $52.6 million resulted from the above-mentioned total consideration of $220.4 million and additional payment of $0.4 million related to the first holdback, less the transaction costs and fees of $7.8 million, and the derecognition of the net equity of $154.9 million of FibroGen International at the Transaction close and the cumulative currency translation adjustments of $5.5 million.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ind w:right="180"/>
        <w:spacing w:after="0" w:line="282" w:lineRule="auto"/>
        <w:rPr>
          <w:sz w:val="20"/>
          <w:szCs w:val="20"/>
          <w:color w:val="auto"/>
        </w:rPr>
      </w:pPr>
      <w:r>
        <w:rPr>
          <w:rFonts w:ascii="Times New Roman" w:cs="Times New Roman" w:eastAsia="Times New Roman" w:hAnsi="Times New Roman"/>
          <w:sz w:val="18"/>
          <w:szCs w:val="18"/>
          <w:color w:val="auto"/>
        </w:rPr>
        <w:t>The carrying value of the assets and liabilities of the discontinued operations with respect to FibroGen International on the consolidated balance sheets as of December 31, 2024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51,696</w:t>
            </w:r>
          </w:p>
        </w:tc>
        <w:tc>
          <w:tcPr>
            <w:tcW w:w="100" w:type="dxa"/>
            <w:vAlign w:val="bottom"/>
          </w:tcPr>
          <w:p>
            <w:pPr>
              <w:spacing w:after="0"/>
              <w:rPr>
                <w:sz w:val="18"/>
                <w:szCs w:val="18"/>
                <w:color w:val="auto"/>
              </w:rPr>
            </w:pPr>
          </w:p>
        </w:tc>
      </w:tr>
      <w:tr>
        <w:trPr>
          <w:trHeight w:val="216"/>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100" w:type="dxa"/>
            <w:vAlign w:val="bottom"/>
            <w:shd w:val="clear" w:color="auto" w:fill="CFF0FC"/>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tcPr>
          <w:p>
            <w:pPr>
              <w:spacing w:after="0"/>
              <w:rPr>
                <w:sz w:val="18"/>
                <w:szCs w:val="18"/>
                <w:color w:val="auto"/>
              </w:rPr>
            </w:pPr>
          </w:p>
        </w:tc>
      </w:tr>
      <w:tr>
        <w:trPr>
          <w:trHeight w:val="216"/>
        </w:trPr>
        <w:tc>
          <w:tcPr>
            <w:tcW w:w="9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110,849</w:t>
            </w:r>
          </w:p>
        </w:tc>
        <w:tc>
          <w:tcPr>
            <w:tcW w:w="10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tcPr>
          <w:p>
            <w:pPr>
              <w:spacing w:after="0"/>
              <w:rPr>
                <w:sz w:val="18"/>
                <w:szCs w:val="18"/>
                <w:color w:val="auto"/>
              </w:rPr>
            </w:pPr>
          </w:p>
        </w:tc>
      </w:tr>
      <w:tr>
        <w:trPr>
          <w:trHeight w:val="216"/>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method investment in unconsolidated variable interest entity</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shd w:val="clear" w:color="auto" w:fill="CFF0FC"/>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8"/>
                <w:szCs w:val="18"/>
                <w:color w:val="auto"/>
              </w:rPr>
            </w:pPr>
          </w:p>
        </w:tc>
      </w:tr>
      <w:tr>
        <w:trPr>
          <w:trHeight w:val="216"/>
        </w:trPr>
        <w:tc>
          <w:tcPr>
            <w:tcW w:w="9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assets held for sale</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100" w:type="dxa"/>
            <w:vAlign w:val="bottom"/>
            <w:shd w:val="clear" w:color="auto" w:fill="CFF0FC"/>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tcPr>
          <w:p>
            <w:pPr>
              <w:spacing w:after="0"/>
              <w:rPr>
                <w:sz w:val="18"/>
                <w:szCs w:val="18"/>
                <w:color w:val="auto"/>
              </w:rPr>
            </w:pPr>
          </w:p>
        </w:tc>
      </w:tr>
      <w:tr>
        <w:trPr>
          <w:trHeight w:val="216"/>
        </w:trPr>
        <w:tc>
          <w:tcPr>
            <w:tcW w:w="9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38,917</w:t>
            </w:r>
          </w:p>
        </w:tc>
        <w:tc>
          <w:tcPr>
            <w:tcW w:w="10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r>
      <w:tr>
        <w:trPr>
          <w:trHeight w:val="249"/>
        </w:trPr>
        <w:tc>
          <w:tcPr>
            <w:tcW w:w="9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long-term liabilities held for sale</w:t>
            </w:r>
          </w:p>
        </w:tc>
        <w:tc>
          <w:tcPr>
            <w:tcW w:w="2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significant non-cash items and capital expenditures for the discontinued operations with respect to FibroGen International included in the consolidated statements of cash flows for the years ended December 31, 2025 and 2024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in unconsolidated variable interest entity</w:t>
            </w:r>
          </w:p>
        </w:tc>
        <w:tc>
          <w:tcPr>
            <w:tcW w:w="9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(3,969)</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divestiture</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(52,553)</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received from unconsolidated variable interest entity</w:t>
            </w:r>
          </w:p>
        </w:tc>
        <w:tc>
          <w:tcPr>
            <w:tcW w:w="9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FF0FC"/>
          </w:tcPr>
          <w:p>
            <w:pPr>
              <w:spacing w:after="0"/>
              <w:rPr>
                <w:sz w:val="18"/>
                <w:szCs w:val="18"/>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0"/>
                <w:szCs w:val="20"/>
                <w:color w:val="auto"/>
              </w:rPr>
            </w:pP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Included in the discontinued operations, Falikang, an entity jointly owned by FibroGen Beijing and AstraZeneca is an unconsolidated VIE accounted for as an equity method investment, and considered as a related party to the Company. FibroGen Beijing owns 51.1% of Falikang’s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net product revenue from sales to Falikang were $218.6 million and $159.0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income from Falikang were immaterial for the years ended December 31, 2025 and 2024.</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the investment income in Falikang was $2.5 million and $4.0 million, respectively. As of December 31, 2024, the Company’s equity method investment in Falikang were $6.9 million which was included in the long-term assets held for sale on the consolidated balance sheets. As of December 31, 2024 accounts receivable, net, from Falikang were $13.9 million which were included in the current assets held for sale on the consolidated balance sheets.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right="6140" w:firstLine="8"/>
        <w:spacing w:after="0" w:line="375" w:lineRule="auto"/>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License Agreement and Revenues Astellas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Japan Agreement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the Japanese Ministry of Health, Labour and Welfare, adjusted for certain elements, after commercial launch.</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the considerations received under the Astellas Japan Agreement, through December 31, 2025 totals $105.1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Japan, the Company does not expect to receive most or all of the additional potential milestones under the Astellas Japan Agreement.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Japan Agreement were not material for the years ended December 31, 2025 and 2024.</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December 31, 2025 and accounts receivable has been allocated to each of the performance obligations under the Astellas Japan Agreement, including $100.3 million for license and $17.1 million for co-development.</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year ended December 31, 2025 under the Astellas Japan Agreement. The Company does not expect material variable consideration from estimated future co-development billing beyond the development period in the transaction price related to the Astellas Japan Agreement.</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2018, the Company and Astellas entered into an amendment to the Astellas Japan Agreement that allows Astellas to manufacture roxadustat drug product for commercialization in Japan (the “Astellas Japan Amendment”). Under this amendment, the Company would continue to manufacture and supply roxadustat API to Astellas for the roxadustat commercial activities in Japan. The commercial terms of the Astellas Japan Agreement relating to the transfer price for roxadustat for commercial use remain substantially the same, reflecting an adjustment for the manufacture of drug product by Astellas rather than the Company.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Europe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the considerations received under the Astellas Europe Agreement through December 31, 2025 totals $685.0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Europe, the Company does not expect to receive most or all of the additional potential milestones under the Astellas Europe Agreement.</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Europe Agreement were not material for the years ended December 31, 2025 and 2024.</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December 31, 2025 and accounts receivable has been allocated to each of the performance obligations under the Astellas Europe Agreement, including $619.0 million for license and $288.7 million for co-development.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0" w:name="page91"/>
    <w:bookmarkEnd w:id="90"/>
    <w:p>
      <w:pPr>
        <w:ind w:right="30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year ended December 31, 2025 under the Astellas Europe Agreement. The Company does not expect material variable consideration from estimated future co-development billing beyond the development period in the transaction price related to the Astellas Europe Agreement.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2021, the Company entered into an EU Supply Agreement with Astellas (“Astellas EU Supply Agreement”) to define general forecast, order, supply and payment terms for Astellas to purchase roxadustat bulk drug product from the Company in support of commercial supplies.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Astellas Agreements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the transaction price for the Astellas Japan Agreement, excluding manufacturing services that is discussed separately below, included $40.1 million of non-contingent upfront payments, $65.0 million of variable consideration related to payments for milestones achieved, and $12.4 million of variable consideration related to co-development billings. The transaction price for the Astellas Europe Agreement, excluding manufacturing services that is discussed separately below, included $320.0 million of non-contingent upfront payments, $365.0 million of variable consideration related to payments for milestones achieved, and $222.5 million of variable consideration related to co-development billings.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technology license under the Astellas Japan Agreement and the Astellas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promised services that were analyzed, along with their general timing of satisfaction and recognition as revenue, are as follows:</w:t>
      </w:r>
    </w:p>
    <w:p>
      <w:pPr>
        <w:spacing w:after="0" w:line="115" w:lineRule="exact"/>
        <w:rPr>
          <w:sz w:val="20"/>
          <w:szCs w:val="20"/>
          <w:color w:val="auto"/>
        </w:rPr>
      </w:pPr>
    </w:p>
    <w:p>
      <w:pPr>
        <w:ind w:left="520" w:right="80" w:hanging="512"/>
        <w:spacing w:after="0" w:line="271" w:lineRule="auto"/>
        <w:tabs>
          <w:tab w:leader="none" w:pos="520" w:val="left"/>
        </w:tabs>
        <w:numPr>
          <w:ilvl w:val="0"/>
          <w:numId w:val="3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License to the Company’s technology existing at the effective date of the agreements. </w:t>
      </w:r>
      <w:r>
        <w:rPr>
          <w:rFonts w:ascii="Times New Roman" w:cs="Times New Roman" w:eastAsia="Times New Roman" w:hAnsi="Times New Roman"/>
          <w:sz w:val="17"/>
          <w:szCs w:val="17"/>
          <w:color w:val="auto"/>
        </w:rPr>
        <w:t>For both of the Astellas agreements, the license was delivered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the beginning of the agreement term. In both cases, the Company concluded at the time of the agreement that its collaboration partner, Astellas, would have the knowledge and capabilities to fully exploit the licenses without the Company’s further involvement. However, the Astellas Japan Agreement has contractual limitations that might affect Astellas’ ability to fully exploit the license and therefore, potentially, the conclusion as to whether the license is capable of being distinct.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 The portion of the transaction price allocated to this performance obligation based on a relative SSP basis was recognized as revenue in its entirety at the point in time the license transfers to Astellas.</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1" w:name="page92"/>
    <w:bookmarkEnd w:id="91"/>
    <w:p>
      <w:pPr>
        <w:ind w:left="520" w:right="100" w:hanging="512"/>
        <w:spacing w:after="0" w:line="257" w:lineRule="auto"/>
        <w:tabs>
          <w:tab w:leader="none" w:pos="52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Co-development services (Astellas Europe Agreement). </w:t>
      </w:r>
      <w:r>
        <w:rPr>
          <w:rFonts w:ascii="Times New Roman" w:cs="Times New Roman" w:eastAsia="Times New Roman" w:hAnsi="Times New Roman"/>
          <w:sz w:val="18"/>
          <w:szCs w:val="18"/>
          <w:color w:val="auto"/>
        </w:rPr>
        <w:t>This promise relates to co-development services that were reasonably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the 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related to CKD approval, and such an allocation is consistent with the allocation objective. Subsequent to the approval of CKD in 2021, the Company accounts for the development services for the indications related to chemotherapy-induced anemia and MDS separately as services are provided. There was no provision for co-development services in the Astellas Japan Agreement.</w:t>
      </w:r>
    </w:p>
    <w:p>
      <w:pPr>
        <w:spacing w:after="0" w:line="182" w:lineRule="exact"/>
        <w:rPr>
          <w:rFonts w:ascii="Times New Roman" w:cs="Times New Roman" w:eastAsia="Times New Roman" w:hAnsi="Times New Roman"/>
          <w:sz w:val="18"/>
          <w:szCs w:val="18"/>
          <w:i w:val="1"/>
          <w:iCs w:val="1"/>
          <w:color w:val="auto"/>
        </w:rPr>
      </w:pPr>
    </w:p>
    <w:p>
      <w:pPr>
        <w:ind w:left="520" w:right="300" w:hanging="512"/>
        <w:spacing w:after="0" w:line="284" w:lineRule="auto"/>
        <w:tabs>
          <w:tab w:leader="none" w:pos="52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License to the Company’s technology developed during the term of the agreement and development (referred to as “when and if available”) and information sharing services. </w:t>
      </w:r>
      <w:r>
        <w:rPr>
          <w:rFonts w:ascii="Times New Roman" w:cs="Times New Roman" w:eastAsia="Times New Roman" w:hAnsi="Times New Roman"/>
          <w:sz w:val="18"/>
          <w:szCs w:val="18"/>
          <w:color w:val="auto"/>
        </w:rPr>
        <w:t>These promises are generally satisfied throughout the term of the agreements.</w:t>
      </w:r>
    </w:p>
    <w:p>
      <w:pPr>
        <w:spacing w:after="0" w:line="158" w:lineRule="exact"/>
        <w:rPr>
          <w:rFonts w:ascii="Times New Roman" w:cs="Times New Roman" w:eastAsia="Times New Roman" w:hAnsi="Times New Roman"/>
          <w:sz w:val="18"/>
          <w:szCs w:val="18"/>
          <w:i w:val="1"/>
          <w:iCs w:val="1"/>
          <w:color w:val="auto"/>
        </w:rPr>
      </w:pPr>
    </w:p>
    <w:p>
      <w:pPr>
        <w:ind w:left="520" w:right="440" w:hanging="512"/>
        <w:spacing w:after="0" w:line="284" w:lineRule="auto"/>
        <w:tabs>
          <w:tab w:leader="none" w:pos="52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of clinical supplies of products. </w:t>
      </w:r>
      <w:r>
        <w:rPr>
          <w:rFonts w:ascii="Times New Roman" w:cs="Times New Roman" w:eastAsia="Times New Roman" w:hAnsi="Times New Roman"/>
          <w:sz w:val="18"/>
          <w:szCs w:val="18"/>
          <w:color w:val="auto"/>
        </w:rPr>
        <w:t>This promise is satisfied as supplies for clinical product are delivered for use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programs during the development period, or pre-commercialization period.</w:t>
      </w:r>
    </w:p>
    <w:p>
      <w:pPr>
        <w:spacing w:after="0" w:line="158"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Committee service</w:t>
      </w:r>
      <w:r>
        <w:rPr>
          <w:rFonts w:ascii="Times New Roman" w:cs="Times New Roman" w:eastAsia="Times New Roman" w:hAnsi="Times New Roman"/>
          <w:sz w:val="18"/>
          <w:szCs w:val="18"/>
          <w:color w:val="auto"/>
        </w:rPr>
        <w:t>. This promise is satisfied throughout the course of the agreements as meetings are attended.</w:t>
      </w:r>
    </w:p>
    <w:p>
      <w:pPr>
        <w:spacing w:after="0" w:line="227" w:lineRule="exact"/>
        <w:rPr>
          <w:rFonts w:ascii="Times New Roman" w:cs="Times New Roman" w:eastAsia="Times New Roman" w:hAnsi="Times New Roman"/>
          <w:sz w:val="18"/>
          <w:szCs w:val="18"/>
          <w:i w:val="1"/>
          <w:iCs w:val="1"/>
          <w:color w:val="auto"/>
        </w:rPr>
      </w:pPr>
    </w:p>
    <w:p>
      <w:pPr>
        <w:ind w:left="520" w:right="2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Items (2)-(5) are bundled into a single performance obligation that is distinct given the fact that all are highly interrelated during the development period (pre-commercial phase of development) such that satisfying them independently is not practicable. For the revenue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and updates the measure of progress in each reporting period.</w:t>
      </w:r>
    </w:p>
    <w:p>
      <w:pPr>
        <w:spacing w:after="0" w:line="181" w:lineRule="exact"/>
        <w:rPr>
          <w:rFonts w:ascii="Times New Roman" w:cs="Times New Roman" w:eastAsia="Times New Roman" w:hAnsi="Times New Roman"/>
          <w:sz w:val="18"/>
          <w:szCs w:val="18"/>
          <w:i w:val="1"/>
          <w:iCs w:val="1"/>
          <w:color w:val="auto"/>
        </w:rPr>
      </w:pPr>
    </w:p>
    <w:p>
      <w:pPr>
        <w:ind w:left="520" w:right="120" w:hanging="512"/>
        <w:spacing w:after="0" w:line="261" w:lineRule="auto"/>
        <w:tabs>
          <w:tab w:leader="none" w:pos="52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commercial supplies of products. </w:t>
      </w:r>
      <w:r>
        <w:rPr>
          <w:rFonts w:ascii="Times New Roman" w:cs="Times New Roman" w:eastAsia="Times New Roman" w:hAnsi="Times New Roman"/>
          <w:sz w:val="18"/>
          <w:szCs w:val="18"/>
          <w:color w:val="auto"/>
        </w:rPr>
        <w:t>This promised service is distinct as services are not interrelated with any of the other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181" w:lineRule="exact"/>
        <w:rPr>
          <w:rFonts w:ascii="Times New Roman" w:cs="Times New Roman" w:eastAsia="Times New Roman" w:hAnsi="Times New Roman"/>
          <w:sz w:val="18"/>
          <w:szCs w:val="18"/>
          <w:i w:val="1"/>
          <w:iCs w:val="1"/>
          <w:color w:val="auto"/>
        </w:rPr>
      </w:pPr>
    </w:p>
    <w:p>
      <w:pPr>
        <w:ind w:left="520" w:right="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Under the Astellas Japan Amendment, the drug product revenue represents variable consideration and is estimated based on the quantity of product shipped, actual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drug product tablets, and estimated yield from the manufacture of bulk product tablets, among others.</w:t>
      </w:r>
    </w:p>
    <w:p>
      <w:pPr>
        <w:spacing w:after="0" w:line="179" w:lineRule="exact"/>
        <w:rPr>
          <w:rFonts w:ascii="Times New Roman" w:cs="Times New Roman" w:eastAsia="Times New Roman" w:hAnsi="Times New Roman"/>
          <w:sz w:val="18"/>
          <w:szCs w:val="18"/>
          <w:i w:val="1"/>
          <w:iCs w:val="1"/>
          <w:color w:val="auto"/>
        </w:rPr>
      </w:pPr>
    </w:p>
    <w:p>
      <w:pPr>
        <w:ind w:left="520" w:right="20"/>
        <w:spacing w:after="0" w:line="28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Under the Astellas Europe Agreement, the drug product revenue amount represents variable consideration and is estimated based on the quantity of product transferred and an estimated price. The estimated price is based on the contractual transfer price percentage applied on the estimated weighted average net sales price per strength, which is estimated to be realized by Astellas from the end sale of roxadustat in its approved territories.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U.S./Rest of World Agreement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(“AstraZeneca U.S./RoW Agreement”).</w:t>
      </w:r>
    </w:p>
    <w:p>
      <w:pPr>
        <w:spacing w:after="0" w:line="17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Company and AstraZeneca entered into an agreement to terminate the AstraZeneca U.S./RoW Agreement, effective as of February 25, 2024 (“AstraZeneca Termination and Transition Agreement”), as amended and restated on August 29, 2025. Pursuant to the AstraZeneca Termination and Transition Agreement, AstraZeneca returns all of their non-China roxadustat rights to the Company, with the exception of South Korea, and provides certain assistance during a transition period. In addition, as a part of this AstraZeneca Termination and Transition Agreement, AstraZeneca will receive tiered mid-single digit royalties on the Company’s sales of roxadustat in the terminated territories, or thirty-five percent of all revenue the Company receives if it licenses or sells such rights to a third-party. Neither party incurred any early termination penalties.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2" w:name="page93"/>
    <w:bookmarkEnd w:id="92"/>
    <w:p>
      <w:pPr>
        <w:spacing w:after="0" w:line="255" w:lineRule="auto"/>
        <w:rPr>
          <w:sz w:val="20"/>
          <w:szCs w:val="20"/>
          <w:color w:val="auto"/>
        </w:rPr>
      </w:pPr>
      <w:r>
        <w:rPr>
          <w:rFonts w:ascii="Times New Roman" w:cs="Times New Roman" w:eastAsia="Times New Roman" w:hAnsi="Times New Roman"/>
          <w:sz w:val="18"/>
          <w:szCs w:val="18"/>
          <w:color w:val="auto"/>
        </w:rPr>
        <w:t xml:space="preserve">The aggregate amount of the considerations received under the AstraZeneca U.S./RoW Agreement through December 31, 2025 totals $439.0 million, excluding drug product revenue under the Master Supply Agreement with AstraZeneca under the AstraZeneca U.S./RoW Agreement (“AstraZeneca Master Supply Agreement”), entered in 2020, which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In addition, resulting from the AstraZeneca Termination and Transition Agreement, the Company and AstraZeneca settled the outstanding balances relating to past transactions under the AstraZeneca Master Supply Agreement. Accordingly, during the first quarter of 2024, the Company accounted for the termination of the AstraZeneca U.S./RoW Agreement as a contract modification under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recorded a cumulative catch-up adjustment as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China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AstraZeneca was the Company’s long-time commercialization partner for roxadustat in greater China. In July 2013, the Company (through its subsidiaries affiliated with China) entered into a collaboration agreement with AstraZeneca for roxadustat for the treatment of anemia in China (“AstraZeneca China Agreement”). Under the terms of the AstraZeneca China Agreement, AstraZeneca agreed to pay upfront consideration and potential milestone payments, totaling $376.7 million. The aggregate amount of such considerations received for milestone and upfront payments through the third quarter of 2025 totals $81.2 million. As discussed in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xml:space="preserve"> on August 29, 2025, the Transaction was completed to sell the Company’s China operations to AstraZeneca pursuant to the Share Purchase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China Amendment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2020, FibroGen China Anemia Holdings, Ltd., FibroGen Beijing, and FibroGen International (Hong Kong) Limited and AstraZeneca entered into an amendment,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conducts sales and marketing through AstraZeneca.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Substantially all direct roxadustat product sales to distributors in China are made by Falikang, while FibroGen Beijing continues to sell roxadustat product directly in limited areas in China. FibroGen Beijing manufactures and supplies commercial product to Falikang based on a gross transfer price, which is adjusted for the estimated profit share. Further discussion related to the sales to Falikang is discussed under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below.</w:t>
      </w:r>
    </w:p>
    <w:p>
      <w:pPr>
        <w:spacing w:after="0" w:line="18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Prior to the above-mentioned termination of the AstraZeneca U.S./RoW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As a result of the termination of the AstraZeneca U.S./RoW Agreement, during the first quarter of 2024, the Company recorded the final development revenue under the AstraZeneca U.S./RoW Agreement and AstraZeneca China Agreement, which was immaterial.</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related net product revenue recognized from the sales to Falikang is discussed under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below. The related net product revenue recognized from the sales to Falikang was $218.6 million and $159.0 million for the years ended December 31, 2025 and 2024, respectively, and were included in the discontinued operations in the consolidated statements of operations together with the sales directly to distributors, resulting from the Share Purchase Agreement with AstraZeneca Treasury Limited as discussed in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AstraZeneca Agreements</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 evaluated whether the AstraZeneca U.S./RoW Agreement and the AstraZeneca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and therefore upfront and other non-contingent consideration received and to be received has been pooled together and allocated to each of the performance obligations in both the AstraZeneca U.S./RoW Agreement and the AstraZeneca China Agreement based on their relative SSPs.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ind w:right="360"/>
        <w:spacing w:after="0" w:line="261" w:lineRule="auto"/>
        <w:rPr>
          <w:sz w:val="20"/>
          <w:szCs w:val="20"/>
          <w:color w:val="auto"/>
        </w:rPr>
      </w:pPr>
      <w:r>
        <w:rPr>
          <w:rFonts w:ascii="Times New Roman" w:cs="Times New Roman" w:eastAsia="Times New Roman" w:hAnsi="Times New Roman"/>
          <w:sz w:val="18"/>
          <w:szCs w:val="18"/>
          <w:color w:val="auto"/>
        </w:rPr>
        <w:t>For each of the AstraZeneca agreements, the Company has evaluated the promised services within the respective arrangements and has identified performance obligations representing those services and bundled services that are distinct.Promised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price related to consideration received and accounts receivable through the termination of the AstraZeneca U.S./RoW Agreement has been allocated to each of the performance obligations under the AstraZeneca U.S./RoW Agreement and AstraZeneca China Agreement, including $344.5 million for license, $625.5 million for co-development, information sharing and committee services, and $573.4 million for China Performance Obligation (cumulative revenue through the third quarter of 2025) that is recognized as product revenue, net, included in discontinued operations as described under </w:t>
      </w:r>
      <w:r>
        <w:rPr>
          <w:rFonts w:ascii="Times New Roman" w:cs="Times New Roman" w:eastAsia="Times New Roman" w:hAnsi="Times New Roman"/>
          <w:sz w:val="18"/>
          <w:szCs w:val="18"/>
          <w:i w:val="1"/>
          <w:iCs w:val="1"/>
          <w:color w:val="auto"/>
        </w:rPr>
        <w:t xml:space="preserve">China Performance Obligation </w:t>
      </w:r>
      <w:r>
        <w:rPr>
          <w:rFonts w:ascii="Times New Roman" w:cs="Times New Roman" w:eastAsia="Times New Roman" w:hAnsi="Times New Roman"/>
          <w:sz w:val="18"/>
          <w:szCs w:val="18"/>
          <w:color w:val="auto"/>
        </w:rPr>
        <w:t>section below.</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AstraZeneca agreements, the Company allocated the transaction price to the various performance obligations based on the relative SSP of each performance obligation, with the exception of co-development billings and commercial sale of product. Co-development billings under the AstraZeneca U.S./RoW Agreement were allocated entirely to the U.S./RoW co-development services performance obligation, and co-development billings under the AstraZeneca China Agreement were allocated entirely to the combined performance obligation under the AstraZeneca China Agreement. Commercial sale of product under the AstraZeneca U.S./RoW Agreement is entirely allocated to the manufacturing commercial supply of products performance obligation, and commercial sale of product under the AstraZeneca China Agreement is allocated entirely to the combined China Performance Obligation.</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AstraZeneca China Amendment, substantially all product sales will be made by Falikang directly to the distributors in China, while the Company continues to sell directly in one province in China. Revenue is recognized at a point in time when control of roxadustat commercial product is transferred to Falikang. See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below. The related net product revenue is included in the discontinued operations in the consolidated statements of operations, resulting from the Share Purchase Agreement with AstraZeneca Treasury Limited as discussed in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Performance Obligation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Product revenue, net, which is included in the discontinued operations, consists primarily of revenues from sales of roxadustat commercial product to Falikang. Substantially all direct roxadustat product sales to distributors in China are made by Falikang. FibroGen Beijing manufactures and supplies commercial product to Falikang. The net transaction price for FibroGen Beijing’s product sales to Falikang is based on a gross transaction price, adjusted for the estimated profit share.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roxadustat sales to Falikang marked the beginning of the Company’s China Performance Obligation under the Company’s agreements with AstraZeneca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Periodically, the Company updates its assumptions such as total sales quantity, performance period, gross transaction price, profit share and other inputs including foreign currency translation impact, among others. Any net transaction price in excess of the revenue recognized is added to the deferred balance, and recognized in future periods as the performance obligation is satisfied.</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xml:space="preserve"> the divestiture of FibroGen International was completed on August 29, 2025 and accordingly, the performance obligation to AstraZeneca was completely satisfied upon the closing of the divestiture. As a result, all the previously deferred revenues were recognized as revenue during the third quarter of 2025. The following table includes a roll-forward of the related deferred revenue that was considered as a contract liability that was not included in the disposal group held for sale as of December 31, 2024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 Revenue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AstraZeneca China performance</w:t>
            </w:r>
          </w:p>
        </w:tc>
        <w:tc>
          <w:tcPr>
            <w:tcW w:w="10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(132,097)</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(82,494)</w:t>
            </w:r>
          </w:p>
        </w:tc>
        <w:tc>
          <w:tcPr>
            <w:tcW w:w="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218,575</w:t>
            </w:r>
          </w:p>
        </w:tc>
        <w:tc>
          <w:tcPr>
            <w:tcW w:w="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(3,984)</w:t>
            </w:r>
          </w:p>
        </w:tc>
        <w:tc>
          <w:tcPr>
            <w:tcW w:w="2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40" w:type="dxa"/>
            <w:vAlign w:val="bottom"/>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obligation - deferred revenue</w:t>
            </w:r>
          </w:p>
        </w:tc>
        <w:tc>
          <w:tcPr>
            <w:tcW w:w="100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related net product revenue recognized from the sales to Falikang was $218.6 million and $159.0 million for year ended December 31, 2025 and 2024, respectively, which were included in the discontinued operations in the consolidated statements of operations together with the sales directly to distributors.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Drug Product Revenue,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product revenue from commercial-grade API or bulk drug product sales to Astellas and AstraZeneca was as follows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(in thousands):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Japan Agreement</w:t>
            </w:r>
          </w:p>
        </w:tc>
        <w:tc>
          <w:tcPr>
            <w:tcW w:w="12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12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(2,872)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Astellas Europe Agreement</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28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1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updated its estimate of variable consideration related to the API shipments fulfilled under the terms of Astellas Japan Amendment, and accordingly recorded an adjustment to the drug product revenue of $0.8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Company updated its estimate of variable consideration related to the API shipments fulfilled under the terms of Astellas Japan Amendment, and accordingly recorded a reduction to the drug product revenue of $2.9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2025, the balances related to the API price true-up under the Astellas Japan Agreement were $1.6 million in accrued liabilities, representing the Company’s best estimate of the timing for these amounts to be paid. As of December 31, 2024, the balances related to the API price true-up under the Astellas Japan Agreement were $2.5 million in accrued liabilities and $0.6 million in other long-term liabilities.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2025, the Company transferred bulk drug product for commercial purposes under the terms of the Astellas Europe Agreement and the Astellas EU Supply Agreement, and recognized the related fully-burdened manufacturing costs of $0.3 million as drug product revenue, and recorded $2.2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2025, the Company reclassified $1.8 million from the related deferred revenue to accrued liabilities. As of December 31, 2025, the related balance in accrued liabilities was $5.4 million, representing the Company’s best estimate that this amount will be paid within the next 12 months.</w:t>
      </w:r>
    </w:p>
    <w:p>
      <w:pPr>
        <w:spacing w:after="0" w:line="1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the Company transferred bulk drug product for commercial purposes under the terms of the Astellas Europe Agreement and the Astellas EU Supply Agreement, and recognized the related fully-burdened manufacturing costs of $0.6 million as drug product revenue, and recorded $4.4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the Company reclassified $7.2 million from the related deferred revenue to accrued liabilities. As of December 31, 2024, the related balance in accrued liabilities was $10.5 million, and the Company paid $7.1 million to Astellas during the year ended December 31, 2025.</w:t>
      </w:r>
    </w:p>
    <w:p>
      <w:pPr>
        <w:spacing w:after="0" w:line="1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recognized royalty revenue of $4.8 million and $4.3 million as drug product revenue from the deferred revenue under the Astellas Europe Agreement during the years ended December 31, 2025 and 2024, respectively. The remainder of the deferred revenue will be recognized as and when uncertainty is resolved, based on the performance of roxadustat product sales in the Astellas territory.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5" w:name="page96"/>
    <w:bookmarkEnd w:id="95"/>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includes a roll-forward of the above-mentioned deferred revenues that are considered as contract liabilities related to drug product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Recognized as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Reclassified to</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Accrued Liability /</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 Payable</w:t>
            </w:r>
          </w:p>
        </w:tc>
        <w:tc>
          <w:tcPr>
            <w:tcW w:w="240" w:type="dxa"/>
            <w:vAlign w:val="bottom"/>
          </w:tcPr>
          <w:p>
            <w:pPr>
              <w:spacing w:after="0"/>
              <w:rPr>
                <w:sz w:val="15"/>
                <w:szCs w:val="15"/>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Drug product revenue - deferred revenue:</w:t>
            </w:r>
          </w:p>
        </w:tc>
        <w:tc>
          <w:tcPr>
            <w:tcW w:w="2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(2,210)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described under </w:t>
      </w:r>
      <w:r>
        <w:rPr>
          <w:rFonts w:ascii="Times New Roman" w:cs="Times New Roman" w:eastAsia="Times New Roman" w:hAnsi="Times New Roman"/>
          <w:sz w:val="18"/>
          <w:szCs w:val="18"/>
          <w:i w:val="1"/>
          <w:iCs w:val="1"/>
          <w:color w:val="auto"/>
        </w:rPr>
        <w:t>AstraZeneca Agreements</w:t>
      </w:r>
      <w:r>
        <w:rPr>
          <w:rFonts w:ascii="Times New Roman" w:cs="Times New Roman" w:eastAsia="Times New Roman" w:hAnsi="Times New Roman"/>
          <w:sz w:val="18"/>
          <w:szCs w:val="18"/>
          <w:color w:val="auto"/>
        </w:rPr>
        <w:t xml:space="preserve"> section above, pursuant to the AstraZeneca Termination and Transition Agreement related to the AstraZeneca U.S./RoW Agreement, the Company and AstraZeneca settled the outstanding balances relating to past transactions under the AstraZeneca Master Supply Agreement. Accordingly, during the year ended December 31, 2024, the Company accounted for the termination of the AstraZeneca U.S./RoW Agreement as a contract modification under the ASC 606 and recorded a cumulative catch-up net adjustment of $25.7 million to the drug product revenue and correspondingly recorded the related cost of goods sold of $14.6 million.</w:t>
      </w:r>
    </w:p>
    <w:p>
      <w:pPr>
        <w:spacing w:after="0" w:line="289"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Variable Interest Entity - Fortis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In May 2023 (the “Option Acquisition Date”), the Company entered into an exclusive option agreement to acquire Fortis Therapeutics (“Fortis”) with its novel Phase 1 ADC, FOR46 (now referred to as “FG-3246”), that targets a novel epitope on CD46 preferentially expressed on certain cancer cells. FG-3246 is in development for the treatment of mCRPC with potential applicability in other solid tumors and hematologic malignancies. If the Company exercises the option to acquire Fortis, it will pay Fortis an </w:t>
      </w:r>
      <w:r>
        <w:rPr>
          <w:rFonts w:ascii="Times New Roman" w:cs="Times New Roman" w:eastAsia="Times New Roman" w:hAnsi="Times New Roman"/>
          <w:sz w:val="18"/>
          <w:szCs w:val="18"/>
          <w:color w:val="212529"/>
        </w:rPr>
        <w:t>option exercise payment</w:t>
      </w:r>
      <w:r>
        <w:rPr>
          <w:rFonts w:ascii="Times New Roman" w:cs="Times New Roman" w:eastAsia="Times New Roman" w:hAnsi="Times New Roman"/>
          <w:sz w:val="18"/>
          <w:szCs w:val="18"/>
          <w:color w:val="auto"/>
        </w:rPr>
        <w:t xml:space="preserve"> of $80.0 million, and thereafter, legacy Fortis shareholders would be eligible to receive from the Company up to $200.0 million in contingent payments associated with the achievement of various regulatory approvals. If the Company acquires Fortis, it would also be responsible to pay University of California, San Francisco (“UCSF”), an upstream licensor to Fortis, development milestone fees and a single digit royalty on net sales of therapeutic or diagnostic products arising from the </w:t>
      </w:r>
      <w:r>
        <w:rPr>
          <w:rFonts w:ascii="Times New Roman" w:cs="Times New Roman" w:eastAsia="Times New Roman" w:hAnsi="Times New Roman"/>
          <w:sz w:val="18"/>
          <w:szCs w:val="18"/>
          <w:color w:val="212529"/>
        </w:rPr>
        <w:t>licensing arrangement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Fortis and UCSF</w:t>
      </w:r>
      <w:r>
        <w:rPr>
          <w:rFonts w:ascii="Times New Roman" w:cs="Times New Roman" w:eastAsia="Times New Roman" w:hAnsi="Times New Roman"/>
          <w:sz w:val="18"/>
          <w:szCs w:val="18"/>
          <w:color w:val="000000"/>
        </w:rPr>
        <w:t>. If the Company chooses not to acquire Fortis, its exclusive license to FG-3246 would expire.</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(together the “Fortis Agreements”), the Company has exclusively licensed FG-3246 and will control and fund future research, development, including a Phase 2 clinical study sponsored by the Company, and manufacturing of FG-3246 option period (which ends on December 31, 2027). As part of the clinical development strategy, the Company will continue the work to develop a PET-based biomarker utilizing a radiolabeled version of the targeting antibody for patient selection. Additionally, the Company is obligated to pay Fortis in support of its continued development activities, and the Company fulfilled such obligation with a last payment of $1.7 million in the first quarter of 2024.</w:t>
      </w:r>
    </w:p>
    <w:p>
      <w:pPr>
        <w:spacing w:after="0" w:line="18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Pursuant to the guidance under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December 31, 2025.</w:t>
      </w:r>
    </w:p>
    <w:p>
      <w:pPr>
        <w:spacing w:after="0" w:line="17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transaction was accounted for as an asset acquisition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substantially all of the fair value of the gross assets acquired is concentrated in a single identifiable in-process research and development (“IPR&amp;D”) asset. The fair value of the consideration transferred was zero. The Company determined that the above mentioned quarterly payments to support Fortis’ continued development obligations should not be included in the purchase consideration, as those payments are payable to Fortis rather than to its shareholders.</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Fortis has authorized and issued common shares and Series A preferred shares. The Company owned approximately 2% of Fortis’ Series A preferred shares, which was acquired prior the Option Acquisition Date and carried at zero cost. The NCI attributable to the common shares is classified as nonredeemable NCI, as it is 100% owned by third party shareholders.The NCI attributable to the approximately 98% of Series A preferred shares owned by other investors are classified as redeemable NCI in temporary equity, as the preferred shares are redeemable by the non-controlling shares holders upon occurrence of certain events out of the Company’s control.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Subsequent to the Option Acquisition Date, Fortis’ net income is allocated to its common shares and preferred shares based on their respective stated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Fortis’ net loss is allocated to its common shares only as the holders of preferred shares do not have a contractual obligation to absorb such losses.</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expensed fair value of the acquired IPR&amp;D assets as research and development expense in 2023. The fair value of Fortis (enterprise value) and the fair value of nonredeemable NCI and redeemable NCI were determined based on the above-mentioned </w:t>
      </w:r>
      <w:r>
        <w:rPr>
          <w:rFonts w:ascii="Times New Roman" w:cs="Times New Roman" w:eastAsia="Times New Roman" w:hAnsi="Times New Roman"/>
          <w:sz w:val="18"/>
          <w:szCs w:val="18"/>
          <w:color w:val="212529"/>
        </w:rPr>
        <w:t>option exercise payment</w:t>
      </w:r>
      <w:r>
        <w:rPr>
          <w:rFonts w:ascii="Times New Roman" w:cs="Times New Roman" w:eastAsia="Times New Roman" w:hAnsi="Times New Roman"/>
          <w:sz w:val="18"/>
          <w:szCs w:val="18"/>
          <w:color w:val="auto"/>
        </w:rPr>
        <w:t xml:space="preserve"> of $80.0 million and contingent payments up to $200.0 million, weighted with probability and expected timing of the underlying events, and discounted by the Company’s estimated market level cost of debt.</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total assets and liabilities of Fortis were immaterial. For the years ended December 31, 2025 and 2024, Fortis’ net income (losses) was immaterial.</w:t>
      </w:r>
    </w:p>
    <w:p>
      <w:pPr>
        <w:spacing w:after="0" w:line="266"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Observable inputs other than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 The availability of observable data is monitored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assets that are measured on a recurring basis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8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24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27,817</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17,797</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124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50,605</w:t>
            </w:r>
          </w:p>
        </w:tc>
        <w:tc>
          <w:tcPr>
            <w:tcW w:w="1400" w:type="dxa"/>
            <w:vAlign w:val="bottom"/>
            <w:gridSpan w:val="2"/>
            <w:shd w:val="clear" w:color="auto" w:fill="CFF0FC"/>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280" w:type="dxa"/>
            <w:vAlign w:val="bottom"/>
          </w:tcPr>
          <w:p>
            <w:pPr>
              <w:spacing w:after="0"/>
              <w:rPr>
                <w:sz w:val="18"/>
                <w:szCs w:val="18"/>
                <w:color w:val="auto"/>
              </w:rPr>
            </w:pP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96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14,269</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124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17,250</w:t>
            </w:r>
          </w:p>
        </w:tc>
        <w:tc>
          <w:tcPr>
            <w:tcW w:w="1400" w:type="dxa"/>
            <w:vAlign w:val="bottom"/>
            <w:gridSpan w:val="2"/>
            <w:shd w:val="clear" w:color="auto" w:fill="CFF0FC"/>
          </w:tcPr>
          <w:p>
            <w:pPr>
              <w:jc w:val="right"/>
              <w:ind w:right="96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3020" w:type="dxa"/>
            <w:vAlign w:val="bottom"/>
            <w:tcBorders>
              <w:top w:val="single" w:sz="8" w:color="CFF0FC"/>
            </w:tcBorders>
          </w:tcPr>
          <w:p>
            <w:pPr>
              <w:spacing w:after="0"/>
              <w:rPr>
                <w:sz w:val="24"/>
                <w:szCs w:val="24"/>
                <w:color w:val="auto"/>
              </w:rPr>
            </w:pPr>
          </w:p>
        </w:tc>
        <w:tc>
          <w:tcPr>
            <w:tcW w:w="13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-1790700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-1773555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-1790700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-1773555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-1790700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-1773555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-1773555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-864870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-847725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-864870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-847725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-864870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-847725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years ended December 31, 2025 and 2024, the transfers of assets between levels was a total of $22.8 million and $26.3 million transfer from Level 1 to Level 2, respectively, as such US treasury notes and bills were changed to off-the-run when they were issued before the most recent issue and were still outstanding at measurement day.</w:t>
      </w:r>
    </w:p>
    <w:p>
      <w:pPr>
        <w:spacing w:after="0" w:line="291" w:lineRule="exact"/>
        <w:rPr>
          <w:sz w:val="20"/>
          <w:szCs w:val="20"/>
          <w:color w:val="auto"/>
        </w:rPr>
      </w:pPr>
    </w:p>
    <w:p>
      <w:pPr>
        <w:ind w:right="8780" w:firstLine="8"/>
        <w:spacing w:after="0" w:line="378" w:lineRule="auto"/>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 Cash and Cash Equivalents</w:t>
      </w:r>
    </w:p>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8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8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8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80" w:type="dxa"/>
            <w:vAlign w:val="bottom"/>
          </w:tcPr>
          <w:p>
            <w:pPr>
              <w:spacing w:after="0"/>
              <w:rPr>
                <w:sz w:val="18"/>
                <w:szCs w:val="18"/>
                <w:color w:val="auto"/>
              </w:rPr>
            </w:pPr>
          </w:p>
        </w:tc>
      </w:tr>
      <w:tr>
        <w:trPr>
          <w:trHeight w:val="230"/>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47,872</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80" w:type="dxa"/>
            <w:vAlign w:val="bottom"/>
            <w:shd w:val="clear" w:color="auto" w:fill="CFF0FC"/>
          </w:tcPr>
          <w:p>
            <w:pPr>
              <w:spacing w:after="0"/>
              <w:rPr>
                <w:sz w:val="19"/>
                <w:szCs w:val="19"/>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investments consist primarily of available-for-sale debt investments and the amortized cost, gross unrealized holding gains or losses, and fair value of the Company’s investments by major investments type are summarized in the tables below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0"/>
                <w:szCs w:val="10"/>
                <w:color w:val="auto"/>
              </w:rPr>
            </w:pPr>
          </w:p>
        </w:tc>
        <w:tc>
          <w:tcPr>
            <w:tcW w:w="12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357"/>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560" w:type="dxa"/>
            <w:vAlign w:val="bottom"/>
            <w:gridSpan w:val="2"/>
            <w:shd w:val="clear" w:color="auto" w:fill="CFF0FC"/>
          </w:tcPr>
          <w:p>
            <w:pPr>
              <w:jc w:val="right"/>
              <w:ind w:right="112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1560" w:type="dxa"/>
            <w:vAlign w:val="bottom"/>
            <w:gridSpan w:val="2"/>
            <w:shd w:val="clear" w:color="auto" w:fill="CFF0FC"/>
          </w:tcPr>
          <w:p>
            <w:pPr>
              <w:jc w:val="right"/>
              <w:ind w:right="112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28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21</w:t>
            </w:r>
          </w:p>
        </w:tc>
        <w:tc>
          <w:tcPr>
            <w:tcW w:w="28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61,228</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ind w:right="112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38</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ind w:right="112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available-for-sale investments had remaining contractual maturities within two years.</w:t>
      </w:r>
    </w:p>
    <w:p>
      <w:pPr>
        <w:spacing w:after="0" w:line="22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periodically assesses whether the unrealized losses on its available-for-sale investments were temporary. The Company considers factors such as the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other-than-temporary impairment loss during the two years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short-term or long-term investments as of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gridSpan w:val="2"/>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proceeds receivable for litigation settlement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Holdback consideration receivable related to divestiture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0"/>
        </w:trPr>
        <w:tc>
          <w:tcPr>
            <w:tcW w:w="1140" w:type="dxa"/>
            <w:vAlign w:val="bottom"/>
          </w:tcPr>
          <w:p>
            <w:pPr>
              <w:spacing w:after="0"/>
              <w:rPr>
                <w:sz w:val="24"/>
                <w:szCs w:val="24"/>
                <w:color w:val="auto"/>
              </w:rPr>
            </w:pPr>
          </w:p>
        </w:tc>
        <w:tc>
          <w:tcPr>
            <w:tcW w:w="42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67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-864870</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-847725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-864870</wp:posOffset>
            </wp:positionV>
            <wp:extent cx="59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-847725</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98" w:name="page99"/>
    <w:bookmarkEnd w:id="98"/>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the Company recorded a $4.0 million receivable in prepaid expenses and other current assets for the second holdback related to the closing of the divestiture of FibroGen International. See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xml:space="preserve"> for details.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the Company recorded a $28.5 million receivable in prepaid expenses and other current assets, corresponding to the accrued litigation settlement of the same amount related to the Company’s agreement in principle with plaintiffs to settle the class action lawsuit. As the Company maintains insurance that covers exposure related to the class action lawsuit, this amount is fully recoverable under the Company’s insurance policies. The determination that the recorded receivables are probable of collection is based on the terms of the applicable insurance policies and communications with the insurers. Such amount was fully distributed during the first quarter of 2025. As a result, the related accrued liability and the corresponding receivable were fully settled in the same period. See the </w:t>
      </w:r>
      <w:r>
        <w:rPr>
          <w:rFonts w:ascii="Times New Roman" w:cs="Times New Roman" w:eastAsia="Times New Roman" w:hAnsi="Times New Roman"/>
          <w:sz w:val="18"/>
          <w:szCs w:val="18"/>
          <w:i w:val="1"/>
          <w:iCs w:val="1"/>
          <w:color w:val="auto"/>
        </w:rPr>
        <w:t>Accrued and Other Current Liabilities</w:t>
      </w:r>
      <w:r>
        <w:rPr>
          <w:rFonts w:ascii="Times New Roman" w:cs="Times New Roman" w:eastAsia="Times New Roman" w:hAnsi="Times New Roman"/>
          <w:sz w:val="18"/>
          <w:szCs w:val="18"/>
          <w:color w:val="auto"/>
        </w:rPr>
        <w:t xml:space="preserve"> section below, and the </w:t>
      </w:r>
      <w:r>
        <w:rPr>
          <w:rFonts w:ascii="Times New Roman" w:cs="Times New Roman" w:eastAsia="Times New Roman" w:hAnsi="Times New Roman"/>
          <w:sz w:val="18"/>
          <w:szCs w:val="18"/>
          <w:i w:val="1"/>
          <w:iCs w:val="1"/>
          <w:color w:val="auto"/>
        </w:rPr>
        <w:t>Legal Proceedings and Other Matters</w:t>
      </w:r>
      <w:r>
        <w:rPr>
          <w:rFonts w:ascii="Times New Roman" w:cs="Times New Roman" w:eastAsia="Times New Roman" w:hAnsi="Times New Roman"/>
          <w:sz w:val="18"/>
          <w:szCs w:val="18"/>
          <w:color w:val="auto"/>
        </w:rPr>
        <w:t xml:space="preserve"> section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details.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API and bulk drug product price true-up</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liability related to sale of future revenues</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Borders>
              <w:bottom w:val="single" w:sz="8" w:color="CFF0FC"/>
            </w:tcBorders>
          </w:tcPr>
          <w:p>
            <w:pPr>
              <w:spacing w:after="0"/>
              <w:rPr>
                <w:sz w:val="18"/>
                <w:szCs w:val="18"/>
                <w:color w:val="auto"/>
              </w:rPr>
            </w:pPr>
          </w:p>
        </w:tc>
      </w:tr>
      <w:tr>
        <w:trPr>
          <w:trHeight w:val="249"/>
        </w:trPr>
        <w:tc>
          <w:tcPr>
            <w:tcW w:w="5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-24765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The accrued liabilities of $7.0 million and $13.1 million for API and bulk drug product price true-up as of December 31, 2025 and 2024, respectively, resulted from changes in estimated variable consideration associated with the API shipments fulfilled under the terms of the Astellas Japan Amendment, the bulk drug product transferred under the terms of the Astellas Europe Agreement and the Astellas EU Supply Agreement. During the fourth quarter of 2025, the Company paid $7.1 million to Astellas related to accrued amounts.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License Agreement and Revenues, </w:t>
      </w:r>
      <w:r>
        <w:rPr>
          <w:rFonts w:ascii="Times New Roman" w:cs="Times New Roman" w:eastAsia="Times New Roman" w:hAnsi="Times New Roman"/>
          <w:sz w:val="18"/>
          <w:szCs w:val="18"/>
          <w:color w:val="auto"/>
        </w:rPr>
        <w:t>for details.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accrued litigation settlement of $28.5 million was related to the Company’s agreement in principle with plaintiffs to settle the class action lawsuit, which was fully distributed during the first quarter of 2025 as mentioned above. See the </w:t>
      </w:r>
      <w:r>
        <w:rPr>
          <w:rFonts w:ascii="Times New Roman" w:cs="Times New Roman" w:eastAsia="Times New Roman" w:hAnsi="Times New Roman"/>
          <w:sz w:val="18"/>
          <w:szCs w:val="18"/>
          <w:i w:val="1"/>
          <w:iCs w:val="1"/>
          <w:color w:val="auto"/>
        </w:rPr>
        <w:t>Prepaid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section above, and the</w:t>
      </w:r>
      <w:r>
        <w:rPr>
          <w:rFonts w:ascii="Times New Roman" w:cs="Times New Roman" w:eastAsia="Times New Roman" w:hAnsi="Times New Roman"/>
          <w:sz w:val="18"/>
          <w:szCs w:val="18"/>
          <w:i w:val="1"/>
          <w:iCs w:val="1"/>
          <w:color w:val="auto"/>
        </w:rPr>
        <w:t xml:space="preserve"> Legal Proceedings and Other Matters </w:t>
      </w:r>
      <w:r>
        <w:rPr>
          <w:rFonts w:ascii="Times New Roman" w:cs="Times New Roman" w:eastAsia="Times New Roman" w:hAnsi="Times New Roman"/>
          <w:sz w:val="18"/>
          <w:szCs w:val="18"/>
          <w:color w:val="auto"/>
        </w:rPr>
        <w:t>section in Note 11,</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Responding to the reported results for pamrevlumab in July 2024, the Company implemented an immediate and significant cost reduction plan in the U.S., including terminating pamrevlumab research and development investment and expeditiously wind down remaining obligations, and reducing U.S. workforce by approximately 75%. As a result, the Company recorded a total of $19.5 million non-recurring restructuring charge during the year ended December 31, 2024, primarily consisting of notice period and severance payments, accrued vacation, and employee benefits contributions. Total cash payments under the reduction in force were $3.5 million and $16.5 million for the years ended December 31, 2025 and 2024, respectively. The remaining accrued restructuring charge of $0.5 million as of December 31, 2025 will be paid out in 2026.</w:t>
      </w:r>
    </w:p>
    <w:p>
      <w:pPr>
        <w:spacing w:after="0" w:line="291"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Secured Term Loan Facilities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financing agreement (“Financing Agreement”) with investment funds managed by MSTV, as lenders (the “Lenders”), and Wilmington Trust, National Association, as the administrative agent, providing for senior secured term loan facilities, and received $74.1 million, representing the Initial Term Loan of $75.0 million net of $0.9 million issuance costs.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ind w:right="100"/>
        <w:spacing w:after="0" w:line="256" w:lineRule="auto"/>
        <w:rPr>
          <w:sz w:val="20"/>
          <w:szCs w:val="20"/>
          <w:color w:val="auto"/>
        </w:rPr>
      </w:pPr>
      <w:r>
        <w:rPr>
          <w:rFonts w:ascii="Times New Roman" w:cs="Times New Roman" w:eastAsia="Times New Roman" w:hAnsi="Times New Roman"/>
          <w:sz w:val="18"/>
          <w:szCs w:val="18"/>
          <w:color w:val="auto"/>
        </w:rPr>
        <w:t>The Initial Term Loan accrued interest at a fixed rate of 14.0% per annum, payable monthly in arrears. The Initial Term Loan would mature on May 8, 2026. The Initial Term Loan was subject to amortization payments. The Company was permitted to prepay the Initial Term Loan from time to time, in whole or in part, subject to payment of a make-whole amount equal to the unpaid principal amount of the portion of the Initial Term Loan being repaid or prepaid, plus accrued and unpaid interest of the portion of the Initial Term Loan being repaid or prepaid, plus an amount equal to the remaining scheduled interest payments due on such portion of the Initial Term Loan being repaid or prepaid as if such Initial Term Loan were to remain outstanding until the scheduled maturity date.</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initial issuance costs and the related transaction costs, totaling $3.7 million were amortized as interest expense using the effective interest method over the term of the Initial Term Loan and were reported on the balance sheet as a direct deduction from the amount of the Initial Term Loan. The effective annual interest rate of the Initial Term Loan was 16.13% for the year ended December 31, 2025. The Company recorded interest expense of $7.8 million and $11.7 million for the year ended December 31, 2025 and 2024, respectively, which were included in discontinued operations as the Company was required to repay the loan upon the closing of the divestiture FibroGen International.</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On August 29, 2025, upon the above-mentioned Transaction close, the Company paid the Lenders a total of $80.9 million, including $75.0 million for paying off the senior secured term loan facilities, $0.4 million for outstanding interest and $5.5 million for related premium and fees. Accordingly, the Company recorded a loss on debt extinguishments of $6.6 million, including the $5.5 million of prepayment premium and fees and a $1.1 million amortization of issuance costs,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senior secured term loan facilities as of December 31, 2024 were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senior secured term loan facilities</w:t>
            </w:r>
          </w:p>
        </w:tc>
        <w:tc>
          <w:tcPr>
            <w:tcW w:w="14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FF0FC"/>
          </w:tcPr>
          <w:p>
            <w:pPr>
              <w:spacing w:after="0"/>
              <w:rPr>
                <w:sz w:val="18"/>
                <w:szCs w:val="18"/>
                <w:color w:val="auto"/>
              </w:rPr>
            </w:pPr>
          </w:p>
        </w:tc>
      </w:tr>
      <w:tr>
        <w:trPr>
          <w:trHeight w:val="216"/>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Unamortized issuance costs and transaction costs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(1,908)</w:t>
            </w:r>
          </w:p>
        </w:tc>
      </w:tr>
      <w:tr>
        <w:trPr>
          <w:trHeight w:val="20"/>
        </w:trPr>
        <w:tc>
          <w:tcPr>
            <w:tcW w:w="4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term loan facilities, ending balance</w:t>
            </w:r>
          </w:p>
        </w:tc>
        <w:tc>
          <w:tcPr>
            <w:tcW w:w="14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80" w:type="dxa"/>
            <w:vAlign w:val="bottom"/>
            <w:shd w:val="clear" w:color="auto" w:fill="CFF0FC"/>
          </w:tcPr>
          <w:p>
            <w:pPr>
              <w:spacing w:after="0"/>
              <w:rPr>
                <w:sz w:val="21"/>
                <w:szCs w:val="21"/>
                <w:color w:val="auto"/>
              </w:rPr>
            </w:pPr>
          </w:p>
        </w:tc>
      </w:tr>
      <w:tr>
        <w:trPr>
          <w:trHeight w:val="196"/>
        </w:trPr>
        <w:tc>
          <w:tcPr>
            <w:tcW w:w="496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Representing:</w:t>
            </w:r>
          </w:p>
        </w:tc>
        <w:tc>
          <w:tcPr>
            <w:tcW w:w="96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16"/>
        </w:trPr>
        <w:tc>
          <w:tcPr>
            <w:tcW w:w="4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Senior secured term loan facilities, current</w:t>
            </w:r>
          </w:p>
        </w:tc>
        <w:tc>
          <w:tcPr>
            <w:tcW w:w="14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secured term loan facilities, non-current</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-448310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-431165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4"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Sale of Future Revenues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2022, the Company entered into a revenue interest financing agreement (the “RIFA”) with NQ Project Phoebus, L.P.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00" w:name="page101"/>
    <w:bookmarkEnd w:id="100"/>
    <w:p>
      <w:pPr>
        <w:ind w:right="400"/>
        <w:spacing w:after="0" w:line="282" w:lineRule="auto"/>
        <w:rPr>
          <w:sz w:val="20"/>
          <w:szCs w:val="20"/>
          <w:color w:val="auto"/>
        </w:rPr>
      </w:pPr>
      <w:r>
        <w:rPr>
          <w:rFonts w:ascii="Times New Roman" w:cs="Times New Roman" w:eastAsia="Times New Roman" w:hAnsi="Times New Roman"/>
          <w:sz w:val="18"/>
          <w:szCs w:val="18"/>
          <w:color w:val="auto"/>
        </w:rPr>
        <w:t>NovaQuest will retain this entitlement until it has reached the Payment Cap, at which point 100% of such revenue interest on future global net sales of Astellas will revert to the Company.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15.21%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activity of the liability related to sale of future revenues for the year ended December 31, 2025 and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346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00" w:type="dxa"/>
            <w:vAlign w:val="bottom"/>
          </w:tcPr>
          <w:p>
            <w:pPr>
              <w:spacing w:after="0"/>
              <w:rPr>
                <w:sz w:val="12"/>
                <w:szCs w:val="12"/>
                <w:color w:val="auto"/>
              </w:rPr>
            </w:pPr>
          </w:p>
        </w:tc>
        <w:tc>
          <w:tcPr>
            <w:tcW w:w="128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0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beginning balance</w:t>
            </w:r>
          </w:p>
        </w:tc>
        <w:tc>
          <w:tcPr>
            <w:tcW w:w="1280" w:type="dxa"/>
            <w:vAlign w:val="bottom"/>
            <w:shd w:val="clear" w:color="auto" w:fill="CFF0FC"/>
          </w:tcPr>
          <w:p>
            <w:pPr>
              <w:jc w:val="right"/>
              <w:ind w:right="11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59,324</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57,067</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1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(5,653)</w:t>
            </w:r>
          </w:p>
        </w:tc>
      </w:tr>
      <w:tr>
        <w:trPr>
          <w:trHeight w:val="216"/>
        </w:trPr>
        <w:tc>
          <w:tcPr>
            <w:tcW w:w="70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12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ending balance</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w:t>
            </w:r>
          </w:p>
        </w:tc>
        <w:tc>
          <w:tcPr>
            <w:tcW w:w="100" w:type="dxa"/>
            <w:vAlign w:val="bottom"/>
          </w:tcPr>
          <w:p>
            <w:pPr>
              <w:spacing w:after="0"/>
              <w:rPr>
                <w:sz w:val="18"/>
                <w:szCs w:val="18"/>
                <w:color w:val="auto"/>
              </w:rPr>
            </w:pPr>
          </w:p>
        </w:tc>
      </w:tr>
      <w:tr>
        <w:trPr>
          <w:trHeight w:val="216"/>
        </w:trPr>
        <w:tc>
          <w:tcPr>
            <w:tcW w:w="700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1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(1,334)</w:t>
            </w:r>
          </w:p>
        </w:tc>
        <w:tc>
          <w:tcPr>
            <w:tcW w:w="1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r>
      <w:tr>
        <w:trPr>
          <w:trHeight w:val="20"/>
        </w:trPr>
        <w:tc>
          <w:tcPr>
            <w:tcW w:w="7000" w:type="dxa"/>
            <w:vAlign w:val="bottom"/>
            <w:tcBorders>
              <w:right w:val="single" w:sz="8" w:color="CFF0FC"/>
            </w:tcBorders>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non-current</w:t>
            </w:r>
          </w:p>
        </w:tc>
        <w:tc>
          <w:tcPr>
            <w:tcW w:w="1280" w:type="dxa"/>
            <w:vAlign w:val="bottom"/>
            <w:tcBorders>
              <w:bottom w:val="single" w:sz="8" w:color="auto"/>
            </w:tcBorders>
          </w:tcPr>
          <w:p>
            <w:pPr>
              <w:jc w:val="right"/>
              <w:ind w:right="11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65,980</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58,864</w:t>
            </w:r>
          </w:p>
        </w:tc>
        <w:tc>
          <w:tcPr>
            <w:tcW w:w="10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-454025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During the years ended December 31, 2025 and 2024, the Company recognized, under Astellas Agreements, development revenue of $0.6 million and $1.4 million, respectively, and drug product revenue of $5.8 million and $2.0 million, respectively. See Note 4, </w:t>
      </w:r>
      <w:r>
        <w:rPr>
          <w:rFonts w:ascii="Times New Roman" w:cs="Times New Roman" w:eastAsia="Times New Roman" w:hAnsi="Times New Roman"/>
          <w:sz w:val="18"/>
          <w:szCs w:val="18"/>
          <w:i w:val="1"/>
          <w:iCs w:val="1"/>
          <w:color w:val="auto"/>
        </w:rPr>
        <w:t>Collaboration Agreements, License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Revenue</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recognized the related interest expense of $8.4 million and $7.9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paid $0.5 million and $5.7 million accrued interest, respectively.</w:t>
      </w:r>
    </w:p>
    <w:p>
      <w:pPr>
        <w:spacing w:after="0" w:line="20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Based on the current estimates of drug product revenue and revenue from milestone payments under the Astellas Agreements, and taking into the consideration of the terms discussed above, the Company anticipates to reach a Payment Cap up to $125.0 million by 2031.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Product Development Obligations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project-by-project basis to fund various product development efforts undertaken by FibroGen Europe only. Each separate note is denominated in EUR and bears interest (not compounded) calculated as one percentage point less than the Bank of Finland rate in effect at the time of the note, but no less than 3.0%.</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2025 and 2024, the Company had U.S. Dollar equivalent of $11.1 million and $9.8 million of principal outstanding, respectively, and $8.5 million and $7.2 million of interest accrued, respectively, which were presented in the product development obligations line on the consolidated balance sheets.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is not a guarantor of these loans, and the principal or the accrued interest of these loans are not repayable by FibroGen Europe until it has distributable funds.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1" w:name="page102"/>
    <w:bookmarkEnd w:id="101"/>
    <w:p>
      <w:pPr>
        <w:ind w:right="8300" w:firstLine="8"/>
        <w:spacing w:after="0" w:line="377" w:lineRule="auto"/>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Contract Obligations</w:t>
      </w:r>
    </w:p>
    <w:p>
      <w:pPr>
        <w:spacing w:after="0" w:line="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outstanding total non-cancelable purchase obligations of $3.3 million for general purchases and other programs and $2.3 million for manufacture and supply of roxadustat, expected to pay within the next twelve months. The Company expects to fulfill its commitments under these agreements in the normal course of business, and as such, no liability has been recorded.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Product Development Obligations</w:t>
      </w:r>
      <w:r>
        <w:rPr>
          <w:rFonts w:ascii="Times New Roman" w:cs="Times New Roman" w:eastAsia="Times New Roman" w:hAnsi="Times New Roman"/>
          <w:sz w:val="18"/>
          <w:szCs w:val="18"/>
          <w:color w:val="auto"/>
        </w:rPr>
        <w:t xml:space="preserve"> for details of the respective obligations.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and Other Matters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consolidated balance sheet as of December 31, 2025.</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Between April 2021 and May 2021, five putative securities class action complaints were filed against the Company and certain of its former executive officers in the U.S. District Court for the Northern District of California. On October 17, 2023, the parties reached an agreement in principle to settle the class action at $28.5 million. The Court approved the settlement Plan of Allocation on May 28, 2024 and Plaintiffs’ motion for attorney’s fees on August 1, 2024. The court entered a class distribution order on January 1, 2025 and the amount was fully distributed during the first quarter of 2025. The settlement was fully covered by insurance.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received a subpoena from the U.S. Securities and Exchange Commission (“SEC”) requesting documents related to roxadustat’s pooled cardiovascular safety data. The SEC followed up with a subpoena for additional documents in the second quarter of 2024. In May 2025, the Company entered into a settlement with the SEC. As part of the settlement, and without admitting or denying the findings in the settlement offer or administrative order to be issued by the SEC, the Company agreed to pay a $1.25 million civil penalty. In September 2025, the agreement was approved by the Commission and the Company has been making payments to the agreed upon payment schedule.</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Between 2022 and 2024, the Company’s Board of Directors received seven litigation demands from purported shareholders of the Company, asking the Board of Directors to investigate and take action against certain current and former officers and directors of the Company for alleged wrongdoing based on the same allegations in the derivative and securities class action lawsuits. The litigation demands have been withdrawn.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is currently one SEC complaint against the Company's former Chief Medical Officer in U.S. District Court. While the Company is not a party to this proceeding, pursuant to its indemnification agreement with the former officer, the Company is obligated to advance certain legal expenses and may be required to indemnify certain costs and judgments; however, certain judgments, settlements, or fines sought by the SEC would not be covered by the Company under the indemnification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2" w:name="page103"/>
    <w:bookmarkEnd w:id="102"/>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accrued liabilities related to these obligations were not material. The Company is unable to reasonably estimate the total amount of future indemnification costs beyond amounts currently accrued due to the early stage of the litigation and significant uncertainties regarding the duration, scope, and outcome of the proceedings.</w:t>
      </w:r>
    </w:p>
    <w:p>
      <w:pPr>
        <w:spacing w:after="0" w:line="200" w:lineRule="exact"/>
        <w:rPr>
          <w:sz w:val="20"/>
          <w:szCs w:val="20"/>
          <w:color w:val="auto"/>
        </w:rPr>
      </w:pPr>
    </w:p>
    <w:p>
      <w:pPr>
        <w:spacing w:after="0" w:line="296" w:lineRule="exact"/>
        <w:rPr>
          <w:sz w:val="20"/>
          <w:szCs w:val="20"/>
          <w:color w:val="auto"/>
        </w:rPr>
      </w:pPr>
    </w:p>
    <w:p>
      <w:pPr>
        <w:ind w:right="7860" w:firstLine="8"/>
        <w:spacing w:after="0" w:line="377" w:lineRule="auto"/>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Common Stock</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June 16, 2025, the Company effected the Reverse Stock Split. Proportionate adjustments have been made to the number of shares available for issuance under the Company’s equity incentive plans as well as outstanding equity awards, in accordance with their respective terms. 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shares of stock plans outstanding and shares reserved for future issuance related to stock options and RSU grants and the Company’s Employee Stock Purchase Plan (“ESPP”) purchases are as follows (in thousands):</w:t>
      </w:r>
    </w:p>
    <w:p>
      <w:pPr>
        <w:spacing w:after="0" w:line="15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80" w:type="dxa"/>
            <w:vAlign w:val="bottom"/>
            <w:shd w:val="clear" w:color="auto" w:fill="CFF0FC"/>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8"/>
                <w:szCs w:val="18"/>
                <w:color w:val="auto"/>
              </w:rPr>
            </w:pPr>
          </w:p>
        </w:tc>
      </w:tr>
      <w:tr>
        <w:trPr>
          <w:trHeight w:val="216"/>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future stock options and RSUs grant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ESPP offering</w:t>
            </w:r>
          </w:p>
        </w:tc>
        <w:tc>
          <w:tcPr>
            <w:tcW w:w="7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8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Program</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February 24, 2025, the Company entered into an Equity Distribution Agreement with BofA Securities, Inc. (“BofA”), under which it may offer and sell its common stock having aggregate sales proceeds of up to $30.0 million from time to time through BofA as its sales agent. The Company did not sell any shares of common stock under this ATM program during the years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RSU Plans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2014, the Company adopted a 2014 Equity Incentive Plan (the “2014 Plan”) which became effective in November 2014. The 2014 Plan is the successor equity compensation plan to the 2005 Plan. The 2014 Plan provided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were determined by the Company at the time of issuance and generally have a four year vesting schedule. Options generally expire ten years from the date of grant . Unvested options exercised are subject to the Company’s repurchase right.</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June 2024, the Company’s 2024 Equity Incentive Plan (the “2024 Plan”), the successor to and continuation of the 2014 Plan, became effective. The 2024 Plan provides for the grant of incentive stock options, nonqualified stock options, stock appreciation rights, restricted stock awards, restricted stock unit awards and performance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Options generally expire ten years from the date of grant. Unvested options exercised are subject to the Company’s repurchase right. As of December 31, 2025, the Company has reserved 823,929 shares of its common stock that remains unissued for issuance under the 2024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shares upon share option exercise or share unit conversion is made through issuance of new shares authorized under the plan.</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3" w:name="page104"/>
    <w:bookmarkEnd w:id="103"/>
    <w:p>
      <w:pPr>
        <w:ind w:right="40"/>
        <w:spacing w:after="0" w:line="261" w:lineRule="auto"/>
        <w:rPr>
          <w:sz w:val="20"/>
          <w:szCs w:val="20"/>
          <w:color w:val="auto"/>
        </w:rPr>
      </w:pPr>
      <w:r>
        <w:rPr>
          <w:rFonts w:ascii="Times New Roman" w:cs="Times New Roman" w:eastAsia="Times New Roman" w:hAnsi="Times New Roman"/>
          <w:sz w:val="18"/>
          <w:szCs w:val="18"/>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2025 and 2024, no shares of Common Stock were subject to repurchase by the Company.</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February 2023, the Company granted 6,366 total shares of PRSUs to certain executives for the performance period beginning January 1, 2023 and ending December 31, 2026. In February 2022, the Company granted 11,218 total shares of PRSUs to certain executives for the performance period beginning January 1, 2022 and ending December 31, 2025. The ultimate number of shares eligible to vest for PRSUs range from 0% to 200% of the target number of shares depending on achievement relative to the predefined clinical performance metrics and continued employment with the Company. During the year ended December 31, 2025, 93 shares of the PRSUs have vested and been released.</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February 2023, the Company granted 6,366 total shares of TSR awards to certain executives for the performance period beginning January 1, 2023 and ending December 31, 2026. In February 2022, the Company granted 11,218 total shares of TSR awards to certain executives for the performance period beginning January 1, 2022 and ending December 31, 2025. The ultimate number of shares eligible to vest for the TSR awards range from 0% to 200% of the target number of shares depending on the TSR of the Company’s common stock as compared to companies in the NBI index, and continued employment with the Company. During the year ended December 31, 2025, no TSR awards shares have vested and been released.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transactions, including forfeited options granted under the 2024 Plan as well as prior plans, are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400.52</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577.45</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December 31, 2025</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122.04</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-299720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-281940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estimated weighted-average fair value of the stock options granted during the years ended December 31, 2025 and 2024 was $15.14 and $43.43, respectively. There was no option exercised during the years ended December 31,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of RSUs, PRSUs and TSR awards: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Fair Value</w:t>
            </w:r>
          </w:p>
        </w:tc>
      </w:tr>
      <w:tr>
        <w:trPr>
          <w:trHeight w:val="173"/>
        </w:trPr>
        <w:tc>
          <w:tcPr>
            <w:tcW w:w="5380" w:type="dxa"/>
            <w:vAlign w:val="bottom"/>
          </w:tcPr>
          <w:p>
            <w:pPr>
              <w:spacing w:after="0"/>
              <w:rPr>
                <w:sz w:val="15"/>
                <w:szCs w:val="15"/>
                <w:color w:val="auto"/>
              </w:rPr>
            </w:pPr>
          </w:p>
        </w:tc>
        <w:tc>
          <w:tcPr>
            <w:tcW w:w="118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at Grant</w:t>
            </w:r>
          </w:p>
        </w:tc>
        <w:tc>
          <w:tcPr>
            <w:tcW w:w="80" w:type="dxa"/>
            <w:vAlign w:val="bottom"/>
          </w:tcPr>
          <w:p>
            <w:pPr>
              <w:spacing w:after="0"/>
              <w:rPr>
                <w:sz w:val="15"/>
                <w:szCs w:val="15"/>
                <w:color w:val="auto"/>
              </w:rPr>
            </w:pPr>
          </w:p>
        </w:tc>
      </w:tr>
      <w:tr>
        <w:trPr>
          <w:trHeight w:val="21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80" w:type="dxa"/>
            <w:vAlign w:val="bottom"/>
            <w:shd w:val="clear" w:color="auto" w:fill="CFF0FC"/>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9"/>
              </w:rPr>
              <w:t>(18)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289.51</w:t>
            </w:r>
          </w:p>
        </w:tc>
        <w:tc>
          <w:tcPr>
            <w:tcW w:w="80" w:type="dxa"/>
            <w:vAlign w:val="bottom"/>
          </w:tcPr>
          <w:p>
            <w:pPr>
              <w:spacing w:after="0"/>
              <w:rPr>
                <w:sz w:val="18"/>
                <w:szCs w:val="18"/>
                <w:color w:val="auto"/>
              </w:rPr>
            </w:pPr>
          </w:p>
        </w:tc>
      </w:tr>
      <w:tr>
        <w:trPr>
          <w:trHeight w:val="25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18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96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Among the vested RSUs during the year ended December 31, 2025, 10,204 shares were released and issued, while the remaining was withheld for the related payroll taxes. There was no awards granted during the year ended December 31, 2025. The estimated weighted-average fair value of the awards granted during the years ended December 31, 2024 was $44.47.</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September 2014, the Company adopted a 2014 ESPP that became effective in November 2014. The 2014 ESPP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ESPP is intended to qualify as an ESPP under Section 423 of the Internal Revenue Code. The Company has reserved 64,000 shares of its common stock for issuance under the 2014 ESPP. There were 14,163 shares purchased by employees under the 2014 ESPP during the years ended December 31, 2024. The 2014 ESPP was suspended as of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recorded directly to research and development and selling, general and administrative expense for the years the years ended December 31, 2025 and 2024 was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4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3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Pr>
          <w:p>
            <w:pPr>
              <w:spacing w:after="0"/>
              <w:rPr>
                <w:sz w:val="18"/>
                <w:szCs w:val="18"/>
                <w:color w:val="auto"/>
              </w:rPr>
            </w:pPr>
          </w:p>
        </w:tc>
      </w:tr>
      <w:tr>
        <w:trPr>
          <w:trHeight w:val="229"/>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54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0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10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valuation model. The fair value of employee stock options and RSUs is being amortized on a straight-line basis over the requisite service period of the awards. Compensation cost for PRSUs is expensed over the respective vesting periods when the achievement of performance criteria is probable. The Company estimates the fair value of the TSR awards using the Monte Carlo valuation model to simulate the probabilities of achievement. Compensation cost for the TSR awards is recognized over the requisite service period, regardless of when, if ever, the market condition is satisfied. The fair market value of common stock is based on the closing price of the Company’s common stock as reported on the Nasdaq Global Select Market on the date of the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employee stock-based compensation is estimated using the following assumptions:</w:t>
      </w:r>
    </w:p>
    <w:p>
      <w:pPr>
        <w:spacing w:after="0" w:line="117" w:lineRule="exact"/>
        <w:rPr>
          <w:sz w:val="20"/>
          <w:szCs w:val="20"/>
          <w:color w:val="auto"/>
        </w:rPr>
      </w:pPr>
    </w:p>
    <w:p>
      <w:pPr>
        <w:ind w:left="520" w:hanging="512"/>
        <w:spacing w:after="0" w:line="26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 The expected term of 2014 ESPP shares is the average of the remaining purchase periods under each offering period. The expected term of TSR awards is determined based on the grant date to the end of the performance period.</w:t>
      </w:r>
    </w:p>
    <w:p>
      <w:pPr>
        <w:spacing w:after="0" w:line="7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The Company considers its historical volatility data for volatility considerations for all of its stock-based compensation types except for its TSR awards, which is based on a blend of the Company’s and comparable public entities’ historical volatility.</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Expressed as a weighted-average, the risk-free interest rate assumption is based on the U.S. Treasury instruments whose term was consistent with the expected term of the Company’s respective stock-based compensation types.</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Dividend Yield.</w:t>
      </w:r>
      <w:r>
        <w:rPr>
          <w:rFonts w:ascii="Times New Roman" w:cs="Times New Roman" w:eastAsia="Times New Roman" w:hAnsi="Times New Roman"/>
          <w:sz w:val="18"/>
          <w:szCs w:val="18"/>
          <w:color w:val="auto"/>
        </w:rPr>
        <w:t xml:space="preserve"> The Company has never declared or paid any cash dividends and does not plan to pay cash dividends in the foreseeable future.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stock options granted and ESPPs using the Black-Scholes option valuation model were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128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420" w:type="dxa"/>
            <w:vAlign w:val="bottom"/>
          </w:tcPr>
          <w:p>
            <w:pPr>
              <w:spacing w:after="0"/>
              <w:rPr>
                <w:sz w:val="12"/>
                <w:szCs w:val="12"/>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280" w:type="dxa"/>
            <w:vAlign w:val="bottom"/>
          </w:tcPr>
          <w:p>
            <w:pPr>
              <w:jc w:val="right"/>
              <w:ind w:right="11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tcPr>
          <w:p>
            <w:pPr>
              <w:spacing w:after="0"/>
              <w:rPr>
                <w:sz w:val="20"/>
                <w:szCs w:val="20"/>
                <w:color w:val="auto"/>
              </w:rPr>
            </w:pPr>
          </w:p>
        </w:tc>
      </w:tr>
      <w:tr>
        <w:trPr>
          <w:trHeight w:val="198"/>
        </w:trPr>
        <w:tc>
          <w:tcPr>
            <w:tcW w:w="5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ESPPs</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4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61.5 - 271.2 %</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2.6 - 5.3 %</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280" w:type="dxa"/>
            <w:vAlign w:val="bottom"/>
          </w:tcPr>
          <w:p>
            <w:pPr>
              <w:jc w:val="right"/>
              <w:ind w:right="11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the TSR awards using the Monte Carlo valuation model were as follows: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TSR awards</w:t>
            </w: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69.0 - 73.3 %</w:t>
            </w:r>
          </w:p>
        </w:tc>
        <w:tc>
          <w:tcPr>
            <w:tcW w:w="7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69.0 - 73.3 %</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1.8 - 4.2 %</w:t>
            </w:r>
          </w:p>
        </w:tc>
        <w:tc>
          <w:tcPr>
            <w:tcW w:w="7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1.8 - 4.2 %</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759.23</w:t>
            </w:r>
          </w:p>
        </w:tc>
        <w:tc>
          <w:tcPr>
            <w:tcW w:w="64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737.88</w:t>
            </w:r>
          </w:p>
        </w:tc>
        <w:tc>
          <w:tcPr>
            <w:tcW w:w="320" w:type="dxa"/>
            <w:vAlign w:val="bottom"/>
          </w:tcPr>
          <w:p>
            <w:pPr>
              <w:spacing w:after="0"/>
              <w:rPr>
                <w:sz w:val="20"/>
                <w:szCs w:val="20"/>
                <w:color w:val="auto"/>
              </w:rPr>
            </w:pPr>
          </w:p>
        </w:tc>
      </w:tr>
    </w:tbl>
    <w:p>
      <w:pPr>
        <w:spacing w:after="0" w:line="1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2025, there was $3.6 million of total unrecognized compensation costs, net of estimated forfeitures, related to non-vested stock option awards granted that will be recognized on a straight-line basis over the weighted-average period of 2.50 years. As of December 31, 2025, there was $1.7 million of total unrecognized compensation costs, net of estimated forfeitures, related to non-vested RSUs, PRSUs and TSR awards granted that will be recognized on a straight-line basis over the weighted-average period of 1.73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Stock and Non-Controlling Interests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Europe</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FibroGen Europe has a total of 42,619,022 shares of Preferred Stock outstanding, of which there are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the Company’s Common Stock. Of all the Preferred Stock outstanding, a total of 37,184,807 shares are owned by Kyntra Bio and 5,434,215 shares are owned by minority shareholders. In addition, FibroGen Europe has 7,800,000 common shares outstanding owned by Kyntra Bio. The holders of FibroGen Europe’s shares of Preferred Stock (“Preferred Shares”) have the following rights, preferences and privileges:</w:t>
      </w:r>
    </w:p>
    <w:p>
      <w:pPr>
        <w:spacing w:after="0" w:line="79"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 When the assets of FibroGen Europe are distributed (except for distribution in a liquidation), Preferred Shares shall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72"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Pre-emptive Right </w:t>
      </w:r>
      <w:r>
        <w:rPr>
          <w:rFonts w:ascii="Times New Roman" w:cs="Times New Roman" w:eastAsia="Times New Roman" w:hAnsi="Times New Roman"/>
          <w:sz w:val="18"/>
          <w:szCs w:val="18"/>
          <w:color w:val="auto"/>
        </w:rPr>
        <w:t>— Preferred Shares shall have pre-emptive subscription right in accordance with the Finnish Limited Liability Companies Act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shares are issued, option rights are given, or convertible loan is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ind w:left="52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Right </w:t>
      </w:r>
      <w:r>
        <w:rPr>
          <w:rFonts w:ascii="Times New Roman" w:cs="Times New Roman" w:eastAsia="Times New Roman" w:hAnsi="Times New Roman"/>
          <w:sz w:val="18"/>
          <w:szCs w:val="18"/>
          <w:color w:val="auto"/>
        </w:rPr>
        <w:t>— If a Preferred Share can be redeemed by a majority shareholder owning more than ninety percent (90%)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FibroGen Europe in accordance with the provisions of the Finnish Limited Liability Companies Act, the minority holders of Preferred Shares have the right to request redemption of their shares.</w:t>
      </w:r>
    </w:p>
    <w:p>
      <w:pPr>
        <w:spacing w:after="0" w:line="65" w:lineRule="exact"/>
        <w:rPr>
          <w:sz w:val="20"/>
          <w:szCs w:val="20"/>
          <w:color w:val="auto"/>
        </w:rPr>
      </w:pPr>
    </w:p>
    <w:p>
      <w:pPr>
        <w:ind w:left="520"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 </w:t>
      </w:r>
      <w:r>
        <w:rPr>
          <w:rFonts w:ascii="Times New Roman" w:cs="Times New Roman" w:eastAsia="Times New Roman" w:hAnsi="Times New Roman"/>
          <w:sz w:val="18"/>
          <w:szCs w:val="18"/>
          <w:color w:val="auto"/>
        </w:rPr>
        <w:t>— Each share has one vote. Preferred Shares have voting rights only in situations that are specifically provided in the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Conversion Right </w:t>
      </w:r>
      <w:r>
        <w:rPr>
          <w:rFonts w:ascii="Times New Roman" w:cs="Times New Roman" w:eastAsia="Times New Roman" w:hAnsi="Times New Roman"/>
          <w:sz w:val="18"/>
          <w:szCs w:val="18"/>
          <w:color w:val="auto"/>
        </w:rPr>
        <w:t>(1-for-1 basis into Common Stock of FibroGen Europe):</w:t>
      </w:r>
    </w:p>
    <w:p>
      <w:pPr>
        <w:spacing w:after="0" w:line="119" w:lineRule="exact"/>
        <w:rPr>
          <w:sz w:val="20"/>
          <w:szCs w:val="20"/>
          <w:color w:val="auto"/>
        </w:rPr>
      </w:pPr>
    </w:p>
    <w:p>
      <w:pPr>
        <w:jc w:val="both"/>
        <w:ind w:left="1020" w:right="16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67"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Europe and certain other European states. Commercial use means there is income generated from the first commercial sale of the products incorporating the above-mentioned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82" w:lineRule="exact"/>
        <w:rPr>
          <w:sz w:val="20"/>
          <w:szCs w:val="20"/>
          <w:color w:val="auto"/>
        </w:rPr>
      </w:pPr>
    </w:p>
    <w:p>
      <w:pPr>
        <w:jc w:val="both"/>
        <w:ind w:left="52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 </w:t>
      </w:r>
      <w:r>
        <w:rPr>
          <w:rFonts w:ascii="Times New Roman" w:cs="Times New Roman" w:eastAsia="Times New Roman" w:hAnsi="Times New Roman"/>
          <w:sz w:val="18"/>
          <w:szCs w:val="18"/>
          <w:color w:val="auto"/>
        </w:rPr>
        <w:t>— In the event of a dissolution of FibroGen Europe, holders of Preferred Shares are entitled to be paid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1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Non-controlling interest positions related to the issuance of FibroGen Europe’s stock are reported as a separate component of consolidated equity from the equity attributable to the Company’s stockholders. In addition, the Company does not allocate losses to the non-controlling interests as the outstanding shares representing the non-controlling interest do not represent a residual equity interest in FibroGen Europe.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Cayman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FibroGen Cayman has 15,836,966 Series A Preference Shares outstanding, including 10,484,260 shares owned by Kyntra Bio. and 5,352,706 shares owned by minority shareholders, and 78,000,000 common shares outstanding owned by Kyntra Bio. The holders of the FibroGen Cayman Series A Preference Shares have the following rights, preferences and privileges:</w:t>
      </w:r>
    </w:p>
    <w:p>
      <w:pPr>
        <w:spacing w:after="0" w:line="66"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In the event of liquidation, dissolution, or winding up of the entity, either voluntary or involuntary, including by means of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FibroGen Cayman Series A Preference Shares are entitled to be paid an amount equal to their liquidation preference as set forth in the FibroGen Cayman Amended and Restated Memorandum and Articles of Association (the “Articles”), i.e. the product of the number of shares held by a holder of shares of FibroGen Cayman Series A Preference Shares and the original issue price of $1.00 (subject to equitable adjustment for any stock dividend, combination, split, reclassification, recapitalization) plus all declared and unpaid dividends thereon.</w:t>
      </w:r>
    </w:p>
    <w:p>
      <w:pPr>
        <w:spacing w:after="0" w:line="75"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 Each share of FibroGen Cayman Series A Preference Shares is convertible into the number of fully paid and non-assessable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FibroGen Cayman that results from dividing the original issue price by the conversion price in effect at the time of the conversion, subject to adjustments for stock splits, stock dividends, reclassifications and like events. The FibroGen Cayman Series A Preference Shares have a conversion price that is equal to the original issuance price such that the conversion ratio to FibroGen Cayman Common Stock is 1:1 as of all periods presented.</w:t>
      </w:r>
    </w:p>
    <w:p>
      <w:pPr>
        <w:spacing w:after="0" w:line="75" w:lineRule="exact"/>
        <w:rPr>
          <w:sz w:val="20"/>
          <w:szCs w:val="20"/>
          <w:color w:val="auto"/>
        </w:rPr>
      </w:pPr>
    </w:p>
    <w:p>
      <w:pPr>
        <w:ind w:left="5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 The holders of FibroGen Cayman Series A Preference Shares are entitled to vote together with the FibroGen Cayman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on all matters submitted for a vote of the stockholders. The holder of each share of FibroGen Cayman Series A Preference Shares has the number of votes equal to the number of shares of FibroGen Cayman Common Stock into which it is convertible.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07" w:name="page108"/>
    <w:bookmarkEnd w:id="107"/>
    <w:p>
      <w:pPr>
        <w:ind w:left="520"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holders of FibroGen Cayman Series A Preference Shares are entitled to receive cash dividends when and if declared, at a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w:t>
      </w:r>
    </w:p>
    <w:p>
      <w:pPr>
        <w:spacing w:after="0" w:line="15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The discontinued operations sold under the Transaction discussed in the above Note 3, </w:t>
      </w:r>
      <w:r>
        <w:rPr>
          <w:rFonts w:ascii="Times New Roman" w:cs="Times New Roman" w:eastAsia="Times New Roman" w:hAnsi="Times New Roman"/>
          <w:sz w:val="18"/>
          <w:szCs w:val="18"/>
          <w:i w:val="1"/>
          <w:iCs w:val="1"/>
          <w:color w:val="auto"/>
        </w:rPr>
        <w:t>Discontinued Operations and Divestiture</w:t>
      </w:r>
      <w:r>
        <w:rPr>
          <w:rFonts w:ascii="Times New Roman" w:cs="Times New Roman" w:eastAsia="Times New Roman" w:hAnsi="Times New Roman"/>
          <w:sz w:val="18"/>
          <w:szCs w:val="18"/>
          <w:color w:val="auto"/>
        </w:rPr>
        <w:t>, consisted substantially all the assets owned by FibroGen Cayman, and therefore triggered liquidation distribution process of FibroGen Cayman based on its Articles.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during the year ended December 31, 2025, the Company distributed a total of $5.4 million to FibroGen Cayman’s minority shareholders</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($1.00 for each of the FibroGen Cayman Series A Preference Shares held by the minority shareholders), and correspondingly recorded a reduction to the related nonredeemable non-controlling interests of $7.5 million and an adjustment to additional paid-in capital of $2.1 million, for such distribution.</w:t>
      </w:r>
    </w:p>
    <w:p>
      <w:pPr>
        <w:spacing w:after="0" w:line="1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further distribution, if applicable, will be paid out on a pro-rata basis to the holders of all common and Series A Preference shares of FibroGen Cayman, and is subject to future adjustments, if any, including additional proceeds received from the holdbacks related to the Transaction, and future costs of FibroGen Cayman.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Potential common shares that would have the effect of increasing diluted earnings per share are considered to be anti-dilutive and as such, these shares are not included in the calculation of diluted earnings per share. The Company reported a loss from continuing operations for each of the years ended December 31, 2025 and 2024. Therefore, dilutive common shares are not assumed to have been issued since their effect is anti-dilutive for these periods.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Diluted weighted average shares excluded the following potential common shares related to stock options, RSUs, PRSUs, TSR awards and shares to be purchased under the 2014 Employee Stock Purchase Plan (“ESPP”) for the periods presented as they were anti-dilutive (in thousands):</w:t>
      </w:r>
    </w:p>
    <w:p>
      <w:pPr>
        <w:spacing w:after="0" w:line="15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7620</wp:posOffset>
            </wp:positionV>
            <wp:extent cx="24517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ind w:left="7480"/>
        <w:spacing w:after="0"/>
        <w:tabs>
          <w:tab w:leader="none" w:pos="95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1091" w:right="339" w:bottom="1440" w:gutter="0" w:footer="0" w:header="0"/>
        </w:sectPr>
      </w:pPr>
    </w:p>
    <w:p>
      <w:pPr>
        <w:ind w:left="580"/>
        <w:spacing w:after="0"/>
        <w:rPr>
          <w:sz w:val="20"/>
          <w:szCs w:val="20"/>
          <w:color w:val="auto"/>
        </w:rPr>
      </w:pPr>
      <w:r>
        <w:rPr>
          <w:rFonts w:ascii="Times New Roman" w:cs="Times New Roman" w:eastAsia="Times New Roman" w:hAnsi="Times New Roman"/>
          <w:sz w:val="18"/>
          <w:szCs w:val="18"/>
          <w:color w:val="auto"/>
        </w:rPr>
        <w:t>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RSUs, PRSUs and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ESPP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16"/>
                <w:szCs w:val="16"/>
                <w:color w:val="auto"/>
              </w:rPr>
            </w:pPr>
          </w:p>
        </w:tc>
        <w:tc>
          <w:tcPr>
            <w:tcW w:w="1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538</w:t>
            </w:r>
          </w:p>
        </w:tc>
      </w:tr>
      <w:tr>
        <w:trPr>
          <w:trHeight w:val="216"/>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4"/>
        </w:trPr>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7620</wp:posOffset>
            </wp:positionV>
            <wp:extent cx="29229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180"/>
        <w:spacing w:after="0"/>
        <w:tabs>
          <w:tab w:leader="none" w:pos="26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p>
    <w:p>
      <w:pPr>
        <w:sectPr>
          <w:pgSz w:w="11900" w:h="16838" w:orient="portrait"/>
          <w:cols w:equalWidth="0" w:num="2">
            <w:col w:w="6000" w:space="720"/>
            <w:col w:w="4520"/>
          </w:cols>
          <w:pgMar w:left="320" w:top="109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3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Domestic</w:t>
            </w:r>
          </w:p>
        </w:tc>
        <w:tc>
          <w:tcPr>
            <w:tcW w:w="2400" w:type="dxa"/>
            <w:vAlign w:val="bottom"/>
            <w:gridSpan w:val="2"/>
            <w:shd w:val="clear" w:color="auto" w:fill="CFF0FC"/>
          </w:tcPr>
          <w:p>
            <w:pPr>
              <w:jc w:val="right"/>
              <w:ind w:right="7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(47,917)</w:t>
            </w:r>
          </w:p>
        </w:tc>
        <w:tc>
          <w:tcPr>
            <w:tcW w:w="780" w:type="dxa"/>
            <w:vAlign w:val="bottom"/>
            <w:shd w:val="clear" w:color="auto" w:fill="CFF0FC"/>
          </w:tcPr>
          <w:p>
            <w:pPr>
              <w:jc w:val="right"/>
              <w:ind w:right="6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(142,819)</w:t>
            </w: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(10,377)</w:t>
            </w:r>
          </w:p>
        </w:tc>
        <w:tc>
          <w:tcPr>
            <w:tcW w:w="7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(10,548)</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40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(58,294)</w:t>
            </w:r>
          </w:p>
        </w:tc>
        <w:tc>
          <w:tcPr>
            <w:tcW w:w="78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(153,367)</w:t>
            </w:r>
          </w:p>
        </w:tc>
        <w:tc>
          <w:tcPr>
            <w:tcW w:w="560" w:type="dxa"/>
            <w:vAlign w:val="bottom"/>
          </w:tcPr>
          <w:p>
            <w:pPr>
              <w:spacing w:after="0"/>
              <w:rPr>
                <w:sz w:val="21"/>
                <w:szCs w:val="21"/>
                <w:color w:val="auto"/>
              </w:rPr>
            </w:pPr>
          </w:p>
        </w:tc>
      </w:tr>
      <w:tr>
        <w:trPr>
          <w:trHeight w:val="521"/>
        </w:trPr>
        <w:tc>
          <w:tcPr>
            <w:tcW w:w="580" w:type="dxa"/>
            <w:vAlign w:val="bottom"/>
          </w:tcPr>
          <w:p>
            <w:pPr>
              <w:spacing w:after="0"/>
              <w:rPr>
                <w:sz w:val="24"/>
                <w:szCs w:val="24"/>
                <w:color w:val="auto"/>
              </w:rPr>
            </w:pPr>
          </w:p>
        </w:tc>
        <w:tc>
          <w:tcPr>
            <w:tcW w:w="382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8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-865505</wp:posOffset>
            </wp:positionV>
            <wp:extent cx="596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-848360</wp:posOffset>
            </wp:positionV>
            <wp:extent cx="596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-865505</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-848360</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The benefit for income taxes consists of the following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60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98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6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9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-316865</wp:posOffset>
            </wp:positionV>
            <wp:extent cx="596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reconciliation of the benefit for income taxes to the amount computed by applying the 21% statutory U.S. federal income tax rate to income before income taxes for the year ended December 31, 2025, after the adoption of ASU 2023-09, is as follows: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330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 2025</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86"/>
        </w:trPr>
        <w:tc>
          <w:tcPr>
            <w:tcW w:w="58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1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5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116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(12,242)</w:t>
            </w: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160" w:type="dxa"/>
            <w:vAlign w:val="bottom"/>
          </w:tcPr>
          <w:p>
            <w:pPr>
              <w:spacing w:after="0"/>
              <w:rPr>
                <w:sz w:val="18"/>
                <w:szCs w:val="18"/>
                <w:color w:val="auto"/>
              </w:rPr>
            </w:pPr>
          </w:p>
        </w:tc>
        <w:tc>
          <w:tcPr>
            <w:tcW w:w="214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Rate Differential – Cayman Islands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 Rate Differential – Finland</w:t>
            </w: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62,730</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(59,391)</w:t>
            </w:r>
          </w:p>
        </w:tc>
        <w:tc>
          <w:tcPr>
            <w:tcW w:w="1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101.9 %</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1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Disallowed interest</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5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-25400</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-25400</wp:posOffset>
            </wp:positionV>
            <wp:extent cx="1460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-8255</wp:posOffset>
            </wp:positionV>
            <wp:extent cx="1460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is the reconciliation between the statutory federal income tax rate and the Company’s effective tax rate for year ended in December 31, 2024, prior to the adoption of ASU 2023-09,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56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60" w:type="dxa"/>
            <w:vAlign w:val="bottom"/>
            <w:tcBorders>
              <w:top w:val="single" w:sz="8" w:color="auto"/>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5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3900" w:type="dxa"/>
            <w:vAlign w:val="bottom"/>
          </w:tcPr>
          <w:p>
            <w:pPr>
              <w:spacing w:after="0"/>
              <w:rPr>
                <w:sz w:val="18"/>
                <w:szCs w:val="18"/>
                <w:color w:val="auto"/>
              </w:rPr>
            </w:pP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not benefitted</w:t>
            </w:r>
          </w:p>
        </w:tc>
        <w:tc>
          <w:tcPr>
            <w:tcW w:w="5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net operating losses not benefitted</w:t>
            </w:r>
          </w:p>
        </w:tc>
        <w:tc>
          <w:tcPr>
            <w:tcW w:w="5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Deduction limitation on executive compensation</w:t>
            </w:r>
          </w:p>
        </w:tc>
        <w:tc>
          <w:tcPr>
            <w:tcW w:w="3900" w:type="dxa"/>
            <w:vAlign w:val="bottom"/>
          </w:tcPr>
          <w:p>
            <w:pPr>
              <w:spacing w:after="0"/>
              <w:rPr>
                <w:sz w:val="18"/>
                <w:szCs w:val="18"/>
                <w:color w:val="auto"/>
              </w:rPr>
            </w:pP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5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90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560" w:type="dxa"/>
            <w:vAlign w:val="bottom"/>
          </w:tcPr>
          <w:p>
            <w:pPr>
              <w:spacing w:after="0"/>
              <w:rPr>
                <w:sz w:val="21"/>
                <w:szCs w:val="21"/>
                <w:color w:val="auto"/>
              </w:rPr>
            </w:pPr>
          </w:p>
        </w:tc>
      </w:tr>
      <w:tr>
        <w:trPr>
          <w:trHeight w:val="520"/>
        </w:trPr>
        <w:tc>
          <w:tcPr>
            <w:tcW w:w="580" w:type="dxa"/>
            <w:vAlign w:val="bottom"/>
          </w:tcPr>
          <w:p>
            <w:pPr>
              <w:spacing w:after="0"/>
              <w:rPr>
                <w:sz w:val="24"/>
                <w:szCs w:val="24"/>
                <w:color w:val="auto"/>
              </w:rPr>
            </w:pPr>
          </w:p>
        </w:tc>
        <w:tc>
          <w:tcPr>
            <w:tcW w:w="4200" w:type="dxa"/>
            <w:vAlign w:val="bottom"/>
            <w:tcBorders>
              <w:top w:val="single" w:sz="8" w:color="CFF0FC"/>
            </w:tcBorders>
          </w:tcPr>
          <w:p>
            <w:pPr>
              <w:spacing w:after="0"/>
              <w:rPr>
                <w:sz w:val="24"/>
                <w:szCs w:val="24"/>
                <w:color w:val="auto"/>
              </w:rPr>
            </w:pPr>
          </w:p>
        </w:tc>
        <w:tc>
          <w:tcPr>
            <w:tcW w:w="3900" w:type="dxa"/>
            <w:vAlign w:val="bottom"/>
            <w:tcBorders>
              <w:top w:val="single" w:sz="8" w:color="CFF0FC"/>
            </w:tcBorders>
          </w:tcPr>
          <w:p>
            <w:pPr>
              <w:jc w:val="right"/>
              <w:ind w:right="2830"/>
              <w:spacing w:after="0"/>
              <w:rPr>
                <w:sz w:val="20"/>
                <w:szCs w:val="20"/>
                <w:color w:val="auto"/>
              </w:rPr>
            </w:pPr>
            <w:r>
              <w:rPr>
                <w:rFonts w:ascii="Times New Roman" w:cs="Times New Roman" w:eastAsia="Times New Roman" w:hAnsi="Times New Roman"/>
                <w:sz w:val="18"/>
                <w:szCs w:val="18"/>
                <w:color w:val="auto"/>
              </w:rPr>
              <w:t>107</w:t>
            </w:r>
          </w:p>
        </w:tc>
        <w:tc>
          <w:tcPr>
            <w:tcW w:w="17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-865505</wp:posOffset>
            </wp:positionV>
            <wp:extent cx="1460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-847725</wp:posOffset>
            </wp:positionV>
            <wp:extent cx="1460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173,195</w:t>
            </w:r>
          </w:p>
        </w:tc>
        <w:tc>
          <w:tcPr>
            <w:tcW w:w="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206,365</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129,320</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83,329</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6,365</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4,418</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7,785</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15,036</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6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387,565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452,760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(387,555)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(452,740)</w:t>
            </w:r>
          </w:p>
        </w:tc>
      </w:tr>
      <w:tr>
        <w:trPr>
          <w:trHeight w:val="209"/>
        </w:trPr>
        <w:tc>
          <w:tcPr>
            <w:tcW w:w="6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accrued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69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valuation allowance decreased by $65.2 million for the year ended December 31, 2025 and increased by $26.4 million for the years ended December 31, 2024. Due to uncertainty surrounding the realization of the favorable tax attributes in the future tax returns, the Company has established a valuation allowance against its otherwise recognizable net deferred tax assets.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intends to continue maintaining a full valuation allowance on its deferred tax assets until there is sufficient evidence to support the reversal of all or some portion of this allowance.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net operating loss carryforwards available to offset future taxable income of approximately $787.4 million and $145.4 million for federal and state tax purposes, respectively. $140.5 million of the federal net operating loss carryforwards will begin to expire in 2035 if not utilized, while the remainder can be carried forward indefinitely. The state net operating loss carryforward will begin to expire in 2031 if not utilized. The Company also had foreign net operating loss carryforwards of approximately $0.6 million, which expire between 2026 and 2034 if not utilized.</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approximately $153.8 million of federal and $53.7 million of California research and development tax credit and other tax credit carryforwards available to offset future taxable income. The federal credits begin to expire in 2026 and the California research credits have no expiration dates.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Federal and state tax laws impose substantial restrictions on the utilization of net operating loss and credit carryforwards in the event of an “ownership change” for tax purposes, as defined in Internal Revenue Code (“IRC”) Section 382. The Company performed an IRC Section 382 analysis and has determined that there were no ownership changes as of December 31, 2024. Thus, IRC Section 382 will not limit the use of the Company’s net operating loss and tax credit carryforwards. The Company will continue to monitor trading activities in its shares which could cause ownership change in future years.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makes permanent key elements of the Tax Cuts and Jobs Act, including restoring 100% bonus depreciation, eliminating the capitalization requirement for domestic research and experimentation, and changing the business interest expense limitation. ASC 740 requires the effects of changes in tax rates and laws on deferred tax balances to be recognized in the period in which the legislation was enacted in the third quarter of 2025. The provisions do not have a material impact on the Company’s financial statements.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$74.5 million as of December 31, 2025. Approximately $0.4 million of unrecognized tax benefits, if recognized, would affect the effective tax rate. The interest accrued as of December 31, 2025 and 2024 was immaterial.</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income tax benefits during the two years ended December 31, 2025 is as follows (in thousands):</w:t>
      </w:r>
    </w:p>
    <w:p>
      <w:pPr>
        <w:spacing w:after="0" w:line="16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Federal and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00395" cy="146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Decrease due to prior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Increase due to current year position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Foreign exchange rate differential</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Decrease due to prior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Increase due to current year position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Foreign exchange rate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31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27" w:hanging="1027"/>
        <w:spacing w:after="0"/>
        <w:tabs>
          <w:tab w:leader="none" w:pos="10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70,710</w:t>
      </w:r>
    </w:p>
    <w:p>
      <w:pPr>
        <w:spacing w:after="0" w:line="7" w:lineRule="exact"/>
        <w:rPr>
          <w:rFonts w:ascii="Times New Roman" w:cs="Times New Roman" w:eastAsia="Times New Roman" w:hAnsi="Times New Roman"/>
          <w:sz w:val="18"/>
          <w:szCs w:val="18"/>
          <w:color w:val="auto"/>
        </w:rPr>
      </w:pPr>
    </w:p>
    <w:p>
      <w:pPr>
        <w:ind w:left="1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w:t>
      </w:r>
    </w:p>
    <w:p>
      <w:pPr>
        <w:spacing w:after="0" w:line="9"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18"/>
          <w:szCs w:val="18"/>
          <w:color w:val="auto"/>
        </w:rPr>
        <w:t>3,920</w:t>
      </w:r>
    </w:p>
    <w:p>
      <w:pPr>
        <w:spacing w:after="0" w:line="9"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683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027"/>
        <w:spacing w:after="0"/>
        <w:rPr>
          <w:sz w:val="20"/>
          <w:szCs w:val="20"/>
          <w:color w:val="auto"/>
        </w:rPr>
      </w:pPr>
      <w:r>
        <w:rPr>
          <w:rFonts w:ascii="Times New Roman" w:cs="Times New Roman" w:eastAsia="Times New Roman" w:hAnsi="Times New Roman"/>
          <w:sz w:val="18"/>
          <w:szCs w:val="18"/>
          <w:color w:val="auto"/>
        </w:rPr>
        <w:t>74,321</w:t>
      </w:r>
    </w:p>
    <w:p>
      <w:pPr>
        <w:spacing w:after="0" w:line="23"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(229)</w:t>
      </w:r>
    </w:p>
    <w:p>
      <w:pPr>
        <w:spacing w:after="0" w:line="9" w:lineRule="exact"/>
        <w:rPr>
          <w:sz w:val="20"/>
          <w:szCs w:val="20"/>
          <w:color w:val="auto"/>
        </w:rPr>
      </w:pPr>
    </w:p>
    <w:p>
      <w:pPr>
        <w:ind w:left="1247"/>
        <w:spacing w:after="0"/>
        <w:rPr>
          <w:sz w:val="20"/>
          <w:szCs w:val="20"/>
          <w:color w:val="auto"/>
        </w:rPr>
      </w:pPr>
      <w:r>
        <w:rPr>
          <w:rFonts w:ascii="Times New Roman" w:cs="Times New Roman" w:eastAsia="Times New Roman" w:hAnsi="Times New Roman"/>
          <w:sz w:val="18"/>
          <w:szCs w:val="18"/>
          <w:color w:val="auto"/>
        </w:rPr>
        <w:t>372</w:t>
      </w:r>
    </w:p>
    <w:p>
      <w:pPr>
        <w:spacing w:after="0" w:line="9" w:lineRule="exact"/>
        <w:rPr>
          <w:sz w:val="20"/>
          <w:szCs w:val="20"/>
          <w:color w:val="auto"/>
        </w:rPr>
      </w:pPr>
    </w:p>
    <w:p>
      <w:pPr>
        <w:ind w:left="1327"/>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683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027" w:hanging="1027"/>
        <w:spacing w:after="0"/>
        <w:tabs>
          <w:tab w:leader="none" w:pos="102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74,464</w:t>
      </w:r>
    </w:p>
    <w:p>
      <w:pPr>
        <w:spacing w:after="0" w:line="235" w:lineRule="exact"/>
        <w:rPr>
          <w:sz w:val="20"/>
          <w:szCs w:val="20"/>
          <w:color w:val="auto"/>
        </w:rPr>
      </w:pPr>
    </w:p>
    <w:p>
      <w:pPr>
        <w:sectPr>
          <w:pgSz w:w="11900" w:h="16838" w:orient="portrait"/>
          <w:cols w:equalWidth="0" w:num="2">
            <w:col w:w="7773" w:space="720"/>
            <w:col w:w="2747"/>
          </w:cols>
          <w:pgMar w:left="320" w:top="130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may change during the next twelve months for items that arise in the ordinary course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interest and penalties as a component of tax expense, if any.</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2015 to 2025. The Company is not currently under audit in any tax jurisdiction. The Company did not have any cash payment for income taxes for the years ended December 31, 2025 and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one operating and reporting segment which primarily focuses on the development and commercialization of novel therapeutics to treat serious unmet medical needs. The Company has determined that the chief executive officer is the chief operating decision maker (“CODM”). The CODM assesses performance of the business, monitors budget versus actual results and manages and allocates resources to the Company’s operations using consolidated net income (loss) as the primary measurement. The CODM is regularly provided with entity-wide expense categories that are consistent with those found on the Company’s consolidated statements of operations. These significant segment expenses include cost of goods sold, research and development expenses, selling, general and administrative expenses, and restructuring charge. Other segment items that are presented on the consolidated statements of operations include interest expense, loss on debt extinguishments, interest income and other income (expense), net, and provision for (benefit from) income taxes. The measure of segment assets is reported on the balance sheet as total consolidated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enterprise-wide information is presented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revenues, which are based on the region that revenue is generated,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94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3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2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(2,854)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7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94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5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3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520"/>
        </w:trPr>
        <w:tc>
          <w:tcPr>
            <w:tcW w:w="580" w:type="dxa"/>
            <w:vAlign w:val="bottom"/>
          </w:tcPr>
          <w:p>
            <w:pPr>
              <w:spacing w:after="0"/>
              <w:rPr>
                <w:sz w:val="24"/>
                <w:szCs w:val="24"/>
                <w:color w:val="auto"/>
              </w:rPr>
            </w:pPr>
          </w:p>
        </w:tc>
        <w:tc>
          <w:tcPr>
            <w:tcW w:w="3000" w:type="dxa"/>
            <w:vAlign w:val="bottom"/>
            <w:tcBorders>
              <w:top w:val="single" w:sz="8" w:color="CFF0FC"/>
            </w:tcBorders>
          </w:tcPr>
          <w:p>
            <w:pPr>
              <w:spacing w:after="0"/>
              <w:rPr>
                <w:sz w:val="24"/>
                <w:szCs w:val="24"/>
                <w:color w:val="auto"/>
              </w:rPr>
            </w:pPr>
          </w:p>
        </w:tc>
        <w:tc>
          <w:tcPr>
            <w:tcW w:w="2740" w:type="dxa"/>
            <w:vAlign w:val="bottom"/>
            <w:tcBorders>
              <w:top w:val="single" w:sz="8" w:color="CFF0FC"/>
            </w:tcBorders>
          </w:tcPr>
          <w:p>
            <w:pPr>
              <w:jc w:val="right"/>
              <w:ind w:right="470"/>
              <w:spacing w:after="0"/>
              <w:rPr>
                <w:sz w:val="20"/>
                <w:szCs w:val="20"/>
                <w:color w:val="auto"/>
              </w:rPr>
            </w:pPr>
            <w:r>
              <w:rPr>
                <w:rFonts w:ascii="Times New Roman" w:cs="Times New Roman" w:eastAsia="Times New Roman" w:hAnsi="Times New Roman"/>
                <w:sz w:val="18"/>
                <w:szCs w:val="18"/>
                <w:color w:val="auto"/>
              </w:rPr>
              <w:t>109</w:t>
            </w:r>
          </w:p>
        </w:tc>
        <w:tc>
          <w:tcPr>
            <w:tcW w:w="1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-864870</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-847725</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-864870</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-847725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revenues have been generated from the following collaboration partners that individually accounted for 10% or more of the Company’s total revenue:</w:t>
      </w:r>
    </w:p>
    <w:p>
      <w:pPr>
        <w:spacing w:after="0" w:line="15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Percentage of Revenue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440" w:type="dxa"/>
            <w:vAlign w:val="bottom"/>
            <w:gridSpan w:val="2"/>
          </w:tcPr>
          <w:p>
            <w:pPr>
              <w:spacing w:after="0"/>
              <w:rPr>
                <w:sz w:val="12"/>
                <w:szCs w:val="12"/>
                <w:color w:val="auto"/>
              </w:rPr>
            </w:pPr>
          </w:p>
        </w:tc>
        <w:tc>
          <w:tcPr>
            <w:tcW w:w="1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9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AstraZeneca</w:t>
            </w:r>
          </w:p>
        </w:tc>
        <w:tc>
          <w:tcPr>
            <w:tcW w:w="2040" w:type="dxa"/>
            <w:vAlign w:val="bottom"/>
            <w:gridSpan w:val="3"/>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Astellas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0"/>
                <w:szCs w:val="20"/>
                <w:color w:val="auto"/>
              </w:rPr>
            </w:pPr>
          </w:p>
        </w:tc>
      </w:tr>
      <w:tr>
        <w:trPr>
          <w:trHeight w:val="522"/>
        </w:trPr>
        <w:tc>
          <w:tcPr>
            <w:tcW w:w="6940" w:type="dxa"/>
            <w:vAlign w:val="bottom"/>
            <w:gridSpan w:val="3"/>
          </w:tcPr>
          <w:p>
            <w:pPr>
              <w:jc w:val="right"/>
              <w:ind w:right="1108"/>
              <w:spacing w:after="0"/>
              <w:rPr>
                <w:sz w:val="20"/>
                <w:szCs w:val="20"/>
                <w:color w:val="auto"/>
              </w:rPr>
            </w:pPr>
            <w:r>
              <w:rPr>
                <w:rFonts w:ascii="Times New Roman" w:cs="Times New Roman" w:eastAsia="Times New Roman" w:hAnsi="Times New Roman"/>
                <w:sz w:val="18"/>
                <w:szCs w:val="18"/>
                <w:color w:val="auto"/>
              </w:rPr>
              <w:t>110</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-1237615</wp:posOffset>
            </wp:positionV>
            <wp:extent cx="136525"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6525" cy="137160"/>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-1237615</wp:posOffset>
            </wp:positionV>
            <wp:extent cx="13716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Accounts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 Statement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Operation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and Equity</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allowances for deferred tax assets</w:t>
            </w:r>
          </w:p>
        </w:tc>
        <w:tc>
          <w:tcPr>
            <w:tcW w:w="4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452,740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(65,185)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426,355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756"/>
        </w:trPr>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ind w:right="1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Attached as Exhibits 31.1 and 31.2 to this Annual Report on Form 10-K for the year ended December 31, 2025 (“Annual Report”)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includes the information concerning the controls evaluation referred to in the Rule 13a-14(a) and 15d-15(e) Certifications.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December 31, 2025, the end of the period covered by this Annual Report. Disclosure controls and procedures (as defined in Rules 13a-15(e) or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our evaluation, the Chief Executive Officer and Chief Financial Officer have concluded that our disclosure controls and procedures were effective at the reasonable assurance level as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 xml:space="preserve">Management, with the participation and under the supervision of our Chief Executive Officer and our Chief Financial Officer, evaluated our internal control over financial reporting as of December 31, 2025, the end of our fiscal year, using the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set forth by the Committee of Sponsoring Organizations of the Treadway Commission.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our evaluation, our management has concluded that our internal control over financial reporting was effective as of December 31, 2025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This report does not include an attestation report of our registered public accounting firm as we are a non-accelerated filer and a smaller reporting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fiscal quarter ended December 31, 2025 that materially affected, or is reasonably likely to materially affect, our internal control over financial reporting.</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implementing an enterprise resource planning (“ERP”) system, which will replace our existing operating and financial systems in the U.S. in the first quarter of 2026. While we expect the ERP implementation to improve the efficiency of certain financial and transactional processes, the related changes will materially affect our internal control over financial reporting beginning in the first quarter of 2026, and we have been monitoring such changes during the implementation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30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relating to our directors and nominees, including information with respect to our audit committee, audit committee financial experts and procedures by which stockholders may recommend nominees to our Board of Directors, is incorporated by reference to the sections titled “Proposal 1 – Election of Directors” and “Directors and Corporate Governance” in our Proxy Statement for our 2026 Annual Meeting of Stockholders to be filed with the SEC within 120 days after the end of the fiscal year ended December 31, 2025 (the “2026 Proxy Statement”). The information required by this item regarding our executive officers is incorporated by reference to the section titled “Executive Officers” appearing in our 2026 Proxy Statement. The information, if any, required by this item regarding compliance with Section 16(a) of the Securities Exchange Act of 1934, as amended, is incorporated by reference to the section titled “Delinquent Section 16(a) Reports” appearing in our 2026 Proxy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the Insider Trading Policy is filed as an exhibit to this Annual Report on Form 10-K. In addition, it is our practice to comply with the applicable laws and regulations relating to insider trading.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A copy of our Code of Business Conduct and Ethics can be found on our website (www.kyntrabio</w:t>
      </w:r>
      <w:r>
        <w:rPr>
          <w:rFonts w:ascii="Times New Roman" w:cs="Times New Roman" w:eastAsia="Times New Roman" w:hAnsi="Times New Roman"/>
          <w:sz w:val="18"/>
          <w:szCs w:val="18"/>
          <w:u w:val="single" w:color="auto"/>
          <w:color w:val="auto"/>
        </w:rPr>
        <w:t>.com</w:t>
      </w:r>
      <w:r>
        <w:rPr>
          <w:rFonts w:ascii="Times New Roman" w:cs="Times New Roman" w:eastAsia="Times New Roman" w:hAnsi="Times New Roman"/>
          <w:sz w:val="18"/>
          <w:szCs w:val="18"/>
          <w:color w:val="auto"/>
        </w:rPr>
        <w:t>) under “Corporate Governance.” The contents of our website are not a part of this Annual Report.</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“Executive Compensation,” “Director Compensation,” and “Compensation Committee Interlocks and Insider Participation” appearing in our 2026 Proxy Statement.</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“Security Ownership of Certain Beneficial Owners and Management” and “Equity Compensation Plan Information” appearing in our 2026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“Transactions with Related Persons” and “Directors and Corporate Governance” appearing in our 2026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proposal titled “Proposal 3 - Ratification of Selection of Independent Registered Public Accounting Firm” appearing in our 2026 Proxy Statement.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6" w:name="page117"/>
    <w:bookmarkEnd w:id="11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113"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in response to this Item is included in Part II, Item 8 of this Annual Report.</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Schedule II is included on page 111. All other schedules are omitted because they are not required or the required information is included in the consolidated financial statements or notes thereto.</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15(b) below.</w:t>
      </w:r>
    </w:p>
    <w:p>
      <w:pPr>
        <w:spacing w:after="0" w:line="221" w:lineRule="exact"/>
        <w:rPr>
          <w:sz w:val="20"/>
          <w:szCs w:val="20"/>
          <w:color w:val="auto"/>
        </w:rPr>
      </w:pPr>
    </w:p>
    <w:p>
      <w:pPr>
        <w:jc w:val="both"/>
        <w:ind w:right="20" w:firstLine="8"/>
        <w:spacing w:after="0" w:line="317" w:lineRule="auto"/>
        <w:tabs>
          <w:tab w:leader="none" w:pos="265"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Exhibits</w:t>
      </w:r>
      <w:r>
        <w:rPr>
          <w:rFonts w:ascii="Times New Roman" w:cs="Times New Roman" w:eastAsia="Times New Roman" w:hAnsi="Times New Roman"/>
          <w:sz w:val="17"/>
          <w:szCs w:val="17"/>
          <w:color w:val="auto"/>
        </w:rPr>
        <w:t>—We have filed, or incorporated into this Annual Report by reference, the exhibits listed below. Where an exhibit is incorporated by reference,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number in parentheses indicates the document to which cross-reference is made. Refer to the end of this table for a listing of cross-reference documents.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9"/>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17"/>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18"/>
                <w:szCs w:val="18"/>
                <w:color w:val="auto"/>
              </w:rPr>
            </w:pPr>
          </w:p>
        </w:tc>
        <w:tc>
          <w:tcPr>
            <w:tcW w:w="18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SEC File No.</w:t>
            </w:r>
          </w:p>
        </w:tc>
        <w:tc>
          <w:tcPr>
            <w:tcW w:w="100" w:type="dxa"/>
            <w:vAlign w:val="bottom"/>
          </w:tcPr>
          <w:p>
            <w:pPr>
              <w:spacing w:after="0"/>
              <w:rPr>
                <w:sz w:val="18"/>
                <w:szCs w:val="18"/>
                <w:color w:val="auto"/>
              </w:rPr>
            </w:pPr>
          </w:p>
        </w:tc>
        <w:tc>
          <w:tcPr>
            <w:tcW w:w="1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2720" w:type="dxa"/>
            <w:vAlign w:val="bottom"/>
            <w:tcBorders>
              <w:bottom w:val="single" w:sz="8" w:color="0000EE"/>
            </w:tcBorders>
            <w:gridSpan w:val="9"/>
          </w:tcPr>
          <w:p>
            <w:pPr>
              <w:spacing w:after="0"/>
              <w:rPr>
                <w:rFonts w:ascii="Times New Roman" w:cs="Times New Roman" w:eastAsia="Times New Roman" w:hAnsi="Times New Roman"/>
                <w:sz w:val="18"/>
                <w:szCs w:val="18"/>
                <w:color w:val="auto"/>
              </w:rPr>
            </w:pPr>
            <w:hyperlink r:id="rId351">
              <w:r>
                <w:rPr>
                  <w:rFonts w:ascii="Times New Roman" w:cs="Times New Roman" w:eastAsia="Times New Roman" w:hAnsi="Times New Roman"/>
                  <w:sz w:val="18"/>
                  <w:szCs w:val="18"/>
                  <w:color w:val="auto"/>
                </w:rPr>
                <w:t>Amended and Restated Certificate of</w:t>
              </w:r>
            </w:hyperlink>
          </w:p>
        </w:tc>
        <w:tc>
          <w:tcPr>
            <w:tcW w:w="940" w:type="dxa"/>
            <w:vAlign w:val="bottom"/>
            <w:gridSpan w:val="10"/>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19"/>
          </w:tcPr>
          <w:p>
            <w:pPr>
              <w:spacing w:after="0" w:line="196" w:lineRule="exact"/>
              <w:rPr>
                <w:rFonts w:ascii="Times New Roman" w:cs="Times New Roman" w:eastAsia="Times New Roman" w:hAnsi="Times New Roman"/>
                <w:sz w:val="18"/>
                <w:szCs w:val="18"/>
                <w:color w:val="auto"/>
              </w:rPr>
            </w:pPr>
            <w:hyperlink r:id="rId351">
              <w:r>
                <w:rPr>
                  <w:rFonts w:ascii="Times New Roman" w:cs="Times New Roman" w:eastAsia="Times New Roman" w:hAnsi="Times New Roman"/>
                  <w:sz w:val="18"/>
                  <w:szCs w:val="18"/>
                  <w:color w:val="auto"/>
                </w:rPr>
                <w:t>Incorporation.</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3660" w:type="dxa"/>
            <w:vAlign w:val="bottom"/>
            <w:gridSpan w:val="19"/>
          </w:tcPr>
          <w:p>
            <w:pPr>
              <w:spacing w:after="0"/>
              <w:rPr>
                <w:rFonts w:ascii="Times New Roman" w:cs="Times New Roman" w:eastAsia="Times New Roman" w:hAnsi="Times New Roman"/>
                <w:sz w:val="18"/>
                <w:szCs w:val="18"/>
                <w:color w:val="auto"/>
              </w:rPr>
            </w:pPr>
            <w:hyperlink r:id="rId352">
              <w:r>
                <w:rPr>
                  <w:rFonts w:ascii="Times New Roman" w:cs="Times New Roman" w:eastAsia="Times New Roman" w:hAnsi="Times New Roman"/>
                  <w:sz w:val="18"/>
                  <w:szCs w:val="18"/>
                  <w:color w:val="auto"/>
                </w:rPr>
                <w:t>Amended and Restated Bylaws.</w:t>
              </w:r>
            </w:hyperlink>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32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353">
              <w:r>
                <w:rPr>
                  <w:rFonts w:ascii="Times New Roman" w:cs="Times New Roman" w:eastAsia="Times New Roman" w:hAnsi="Times New Roman"/>
                  <w:sz w:val="18"/>
                  <w:szCs w:val="18"/>
                  <w:color w:val="auto"/>
                </w:rPr>
                <w:t>First Amendment to Amended and Restated</w:t>
              </w:r>
            </w:hyperlink>
          </w:p>
        </w:tc>
        <w:tc>
          <w:tcPr>
            <w:tcW w:w="440" w:type="dxa"/>
            <w:vAlign w:val="bottom"/>
            <w:gridSpan w:val="3"/>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01/07/2026</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19"/>
          </w:tcPr>
          <w:p>
            <w:pPr>
              <w:spacing w:after="0" w:line="196" w:lineRule="exact"/>
              <w:rPr>
                <w:rFonts w:ascii="Times New Roman" w:cs="Times New Roman" w:eastAsia="Times New Roman" w:hAnsi="Times New Roman"/>
                <w:sz w:val="18"/>
                <w:szCs w:val="18"/>
                <w:color w:val="auto"/>
              </w:rPr>
            </w:pPr>
            <w:hyperlink r:id="rId353">
              <w:r>
                <w:rPr>
                  <w:rFonts w:ascii="Times New Roman" w:cs="Times New Roman" w:eastAsia="Times New Roman" w:hAnsi="Times New Roman"/>
                  <w:sz w:val="18"/>
                  <w:szCs w:val="18"/>
                  <w:color w:val="auto"/>
                </w:rPr>
                <w:t>Bylaws.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314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54">
              <w:r>
                <w:rPr>
                  <w:rFonts w:ascii="Times New Roman" w:cs="Times New Roman" w:eastAsia="Times New Roman" w:hAnsi="Times New Roman"/>
                  <w:sz w:val="18"/>
                  <w:szCs w:val="18"/>
                  <w:color w:val="auto"/>
                </w:rPr>
                <w:t>Certificate of Amendment of the Amended</w:t>
              </w:r>
            </w:hyperlink>
          </w:p>
        </w:tc>
        <w:tc>
          <w:tcPr>
            <w:tcW w:w="520" w:type="dxa"/>
            <w:vAlign w:val="bottom"/>
            <w:gridSpan w:val="5"/>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06/12/2025</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354">
              <w:r>
                <w:rPr>
                  <w:rFonts w:ascii="Times New Roman" w:cs="Times New Roman" w:eastAsia="Times New Roman" w:hAnsi="Times New Roman"/>
                  <w:sz w:val="18"/>
                  <w:szCs w:val="18"/>
                  <w:color w:val="auto"/>
                </w:rPr>
                <w:t>and Restated Certificate of Incorporation.</w:t>
              </w:r>
            </w:hyperlink>
          </w:p>
        </w:tc>
        <w:tc>
          <w:tcPr>
            <w:tcW w:w="64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4"/>
                <w:szCs w:val="24"/>
                <w:color w:val="auto"/>
              </w:rPr>
            </w:pPr>
          </w:p>
        </w:tc>
        <w:tc>
          <w:tcPr>
            <w:tcW w:w="314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55">
              <w:r>
                <w:rPr>
                  <w:rFonts w:ascii="Times New Roman" w:cs="Times New Roman" w:eastAsia="Times New Roman" w:hAnsi="Times New Roman"/>
                  <w:sz w:val="18"/>
                  <w:szCs w:val="18"/>
                  <w:color w:val="auto"/>
                </w:rPr>
                <w:t>Certificate of Amendment of the Amended</w:t>
              </w:r>
            </w:hyperlink>
          </w:p>
        </w:tc>
        <w:tc>
          <w:tcPr>
            <w:tcW w:w="520" w:type="dxa"/>
            <w:vAlign w:val="bottom"/>
            <w:gridSpan w:val="5"/>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01/07/2026</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355">
              <w:r>
                <w:rPr>
                  <w:rFonts w:ascii="Times New Roman" w:cs="Times New Roman" w:eastAsia="Times New Roman" w:hAnsi="Times New Roman"/>
                  <w:sz w:val="18"/>
                  <w:szCs w:val="18"/>
                  <w:color w:val="auto"/>
                  <w:w w:val="99"/>
                </w:rPr>
                <w:t>and Restated Certificate of Incorporation.</w:t>
              </w:r>
            </w:hyperlink>
          </w:p>
        </w:tc>
        <w:tc>
          <w:tcPr>
            <w:tcW w:w="66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3660" w:type="dxa"/>
            <w:vAlign w:val="bottom"/>
            <w:gridSpan w:val="19"/>
          </w:tcPr>
          <w:p>
            <w:pPr>
              <w:spacing w:after="0"/>
              <w:rPr>
                <w:rFonts w:ascii="Times New Roman" w:cs="Times New Roman" w:eastAsia="Times New Roman" w:hAnsi="Times New Roman"/>
                <w:sz w:val="18"/>
                <w:szCs w:val="18"/>
                <w:color w:val="auto"/>
              </w:rPr>
            </w:pPr>
            <w:hyperlink r:id="rId356">
              <w:r>
                <w:rPr>
                  <w:rFonts w:ascii="Times New Roman" w:cs="Times New Roman" w:eastAsia="Times New Roman" w:hAnsi="Times New Roman"/>
                  <w:sz w:val="18"/>
                  <w:szCs w:val="18"/>
                  <w:color w:val="auto"/>
                </w:rPr>
                <w:t>Form of Common Stock Certificate.</w:t>
              </w:r>
            </w:hyperlink>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296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357">
              <w:r>
                <w:rPr>
                  <w:rFonts w:ascii="Times New Roman" w:cs="Times New Roman" w:eastAsia="Times New Roman" w:hAnsi="Times New Roman"/>
                  <w:sz w:val="18"/>
                  <w:szCs w:val="18"/>
                  <w:color w:val="auto"/>
                </w:rPr>
                <w:t>Shareholders’ Agreement by and among</w:t>
              </w:r>
            </w:hyperlink>
          </w:p>
        </w:tc>
        <w:tc>
          <w:tcPr>
            <w:tcW w:w="700" w:type="dxa"/>
            <w:vAlign w:val="bottom"/>
            <w:gridSpan w:val="8"/>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10-Q</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4.6</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11/8/2017</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w w:val="99"/>
              </w:rPr>
            </w:pPr>
            <w:hyperlink r:id="rId357">
              <w:r>
                <w:rPr>
                  <w:rFonts w:ascii="Times New Roman" w:cs="Times New Roman" w:eastAsia="Times New Roman" w:hAnsi="Times New Roman"/>
                  <w:sz w:val="18"/>
                  <w:szCs w:val="18"/>
                  <w:color w:val="auto"/>
                  <w:w w:val="99"/>
                </w:rPr>
                <w:t>FibroGen International (Cayman) Limited and</w:t>
              </w:r>
            </w:hyperlink>
          </w:p>
        </w:tc>
        <w:tc>
          <w:tcPr>
            <w:tcW w:w="3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357">
              <w:r>
                <w:rPr>
                  <w:rFonts w:ascii="Times New Roman" w:cs="Times New Roman" w:eastAsia="Times New Roman" w:hAnsi="Times New Roman"/>
                  <w:sz w:val="18"/>
                  <w:szCs w:val="18"/>
                  <w:color w:val="auto"/>
                </w:rPr>
                <w:t>certain of its shareholders, dated as of</w:t>
              </w:r>
            </w:hyperlink>
          </w:p>
        </w:tc>
        <w:tc>
          <w:tcPr>
            <w:tcW w:w="88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19"/>
          </w:tcPr>
          <w:p>
            <w:pPr>
              <w:spacing w:after="0" w:line="196" w:lineRule="exact"/>
              <w:rPr>
                <w:rFonts w:ascii="Times New Roman" w:cs="Times New Roman" w:eastAsia="Times New Roman" w:hAnsi="Times New Roman"/>
                <w:sz w:val="18"/>
                <w:szCs w:val="18"/>
                <w:color w:val="auto"/>
              </w:rPr>
            </w:pPr>
            <w:hyperlink r:id="rId357">
              <w:r>
                <w:rPr>
                  <w:rFonts w:ascii="Times New Roman" w:cs="Times New Roman" w:eastAsia="Times New Roman" w:hAnsi="Times New Roman"/>
                  <w:sz w:val="18"/>
                  <w:szCs w:val="18"/>
                  <w:color w:val="auto"/>
                </w:rPr>
                <w:t>September 8, 2017.</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3660" w:type="dxa"/>
            <w:vAlign w:val="bottom"/>
            <w:gridSpan w:val="19"/>
          </w:tcPr>
          <w:p>
            <w:pPr>
              <w:spacing w:after="0"/>
              <w:rPr>
                <w:rFonts w:ascii="Times New Roman" w:cs="Times New Roman" w:eastAsia="Times New Roman" w:hAnsi="Times New Roman"/>
                <w:sz w:val="18"/>
                <w:szCs w:val="18"/>
                <w:color w:val="auto"/>
              </w:rPr>
            </w:pPr>
            <w:hyperlink r:id="rId358">
              <w:r>
                <w:rPr>
                  <w:rFonts w:ascii="Times New Roman" w:cs="Times New Roman" w:eastAsia="Times New Roman" w:hAnsi="Times New Roman"/>
                  <w:sz w:val="18"/>
                  <w:szCs w:val="18"/>
                  <w:color w:val="auto"/>
                </w:rPr>
                <w:t>Description of Capital Stock.</w:t>
              </w:r>
            </w:hyperlink>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20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2024 Equity Incentive Plan.</w:t>
            </w:r>
          </w:p>
        </w:tc>
        <w:tc>
          <w:tcPr>
            <w:tcW w:w="1600" w:type="dxa"/>
            <w:vAlign w:val="bottom"/>
            <w:gridSpan w:val="13"/>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10.1(ii)+*</w:t>
            </w:r>
          </w:p>
        </w:tc>
        <w:tc>
          <w:tcPr>
            <w:tcW w:w="180" w:type="dxa"/>
            <w:vAlign w:val="bottom"/>
          </w:tcPr>
          <w:p>
            <w:pPr>
              <w:spacing w:after="0"/>
              <w:rPr>
                <w:sz w:val="24"/>
                <w:szCs w:val="24"/>
                <w:color w:val="auto"/>
              </w:rPr>
            </w:pPr>
          </w:p>
        </w:tc>
        <w:tc>
          <w:tcPr>
            <w:tcW w:w="3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Form of Restricted Stock Unit Grant Notice</w:t>
            </w:r>
          </w:p>
        </w:tc>
        <w:tc>
          <w:tcPr>
            <w:tcW w:w="460" w:type="dxa"/>
            <w:vAlign w:val="bottom"/>
            <w:gridSpan w:val="4"/>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and Award Agreement (2024 Equity</w:t>
            </w:r>
          </w:p>
        </w:tc>
        <w:tc>
          <w:tcPr>
            <w:tcW w:w="94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Incentive Plan).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60"/>
        </w:trPr>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10.1(iii)+*</w:t>
            </w:r>
          </w:p>
        </w:tc>
        <w:tc>
          <w:tcPr>
            <w:tcW w:w="29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Form of Stock Option Grant Notice and</w:t>
            </w:r>
          </w:p>
        </w:tc>
        <w:tc>
          <w:tcPr>
            <w:tcW w:w="440" w:type="dxa"/>
            <w:vAlign w:val="bottom"/>
            <w:gridSpan w:val="10"/>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rPr>
              <w:t>Option Agreement (2024 Equity Incentive</w:t>
            </w:r>
          </w:p>
        </w:tc>
        <w:tc>
          <w:tcPr>
            <w:tcW w:w="24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9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auto"/>
              </w:rPr>
              <w:t>2014 Equity Incentive Plan and forms of</w:t>
            </w:r>
          </w:p>
        </w:tc>
        <w:tc>
          <w:tcPr>
            <w:tcW w:w="380" w:type="dxa"/>
            <w:vAlign w:val="bottom"/>
            <w:gridSpan w:val="8"/>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300" w:type="dxa"/>
            <w:vAlign w:val="bottom"/>
          </w:tcPr>
          <w:p>
            <w:pPr>
              <w:spacing w:after="0"/>
              <w:rPr>
                <w:sz w:val="17"/>
                <w:szCs w:val="17"/>
                <w:color w:val="auto"/>
              </w:rPr>
            </w:pPr>
          </w:p>
        </w:tc>
        <w:tc>
          <w:tcPr>
            <w:tcW w:w="3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agreement thereunder.</w:t>
            </w: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3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2014 Employee Stock Purchase Plan.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3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6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8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Non-Employee Director Compensation</w:t>
              </w:r>
            </w:hyperlink>
          </w:p>
        </w:tc>
        <w:tc>
          <w:tcPr>
            <w:tcW w:w="480" w:type="dxa"/>
            <w:vAlign w:val="bottom"/>
            <w:gridSpan w:val="11"/>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001-36740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5/6/2024</w:t>
            </w:r>
          </w:p>
        </w:tc>
      </w:tr>
      <w:tr>
        <w:trPr>
          <w:trHeight w:val="196"/>
        </w:trPr>
        <w:tc>
          <w:tcPr>
            <w:tcW w:w="130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Policy, as amended, dated April 22, 2024.</w:t>
              </w:r>
            </w:hyperlink>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0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rPr>
              <w:t>Bonus Plan.</w:t>
            </w:r>
          </w:p>
        </w:tc>
        <w:tc>
          <w:tcPr>
            <w:tcW w:w="340" w:type="dxa"/>
            <w:vAlign w:val="bottom"/>
            <w:gridSpan w:val="6"/>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3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6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3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Employment Offer Letter.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3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12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Collaboration Agreement, by and between</w:t>
              </w:r>
            </w:hyperlink>
          </w:p>
        </w:tc>
        <w:tc>
          <w:tcPr>
            <w:tcW w:w="240" w:type="dxa"/>
            <w:vAlign w:val="bottom"/>
            <w:gridSpan w:val="4"/>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001-36740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11/5/2020</w:t>
            </w: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FibroGen, Inc. and Astellas Pharma Inc.,</w:t>
              </w:r>
            </w:hyperlink>
          </w:p>
        </w:tc>
        <w:tc>
          <w:tcPr>
            <w:tcW w:w="36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effective as of June 1, 2005.</w:t>
              </w:r>
            </w:hyperlink>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60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Amendment No. 1 to Collaboration</w:t>
              </w:r>
            </w:hyperlink>
          </w:p>
        </w:tc>
        <w:tc>
          <w:tcPr>
            <w:tcW w:w="760" w:type="dxa"/>
            <w:vAlign w:val="bottom"/>
            <w:gridSpan w:val="14"/>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001-36740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10.9(i)</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2/27/2019</w:t>
            </w:r>
          </w:p>
        </w:tc>
      </w:tr>
      <w:tr>
        <w:trPr>
          <w:trHeight w:val="196"/>
        </w:trPr>
        <w:tc>
          <w:tcPr>
            <w:tcW w:w="1300" w:type="dxa"/>
            <w:vAlign w:val="bottom"/>
          </w:tcPr>
          <w:p>
            <w:pPr>
              <w:spacing w:after="0"/>
              <w:rPr>
                <w:sz w:val="17"/>
                <w:szCs w:val="17"/>
                <w:color w:val="auto"/>
              </w:rPr>
            </w:pPr>
          </w:p>
        </w:tc>
        <w:tc>
          <w:tcPr>
            <w:tcW w:w="31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Agreement, by and between FibroGen, Inc.</w:t>
              </w:r>
            </w:hyperlink>
          </w:p>
        </w:tc>
        <w:tc>
          <w:tcPr>
            <w:tcW w:w="200" w:type="dxa"/>
            <w:vAlign w:val="bottom"/>
            <w:gridSpan w:val="3"/>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and Astellas Pharma Inc., effective as of</w:t>
              </w:r>
            </w:hyperlink>
          </w:p>
        </w:tc>
        <w:tc>
          <w:tcPr>
            <w:tcW w:w="400" w:type="dxa"/>
            <w:vAlign w:val="bottom"/>
            <w:gridSpan w:val="9"/>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363">
              <w:r>
                <w:rPr>
                  <w:rFonts w:ascii="Times New Roman" w:cs="Times New Roman" w:eastAsia="Times New Roman" w:hAnsi="Times New Roman"/>
                  <w:sz w:val="18"/>
                  <w:szCs w:val="18"/>
                  <w:color w:val="auto"/>
                  <w:w w:val="99"/>
                </w:rPr>
                <w:t>January 1, 2013.</w:t>
              </w:r>
            </w:hyperlink>
          </w:p>
        </w:tc>
        <w:tc>
          <w:tcPr>
            <w:tcW w:w="2160" w:type="dxa"/>
            <w:vAlign w:val="bottom"/>
            <w:gridSpan w:val="21"/>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56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364">
              <w:r>
                <w:rPr>
                  <w:rFonts w:ascii="Times New Roman" w:cs="Times New Roman" w:eastAsia="Times New Roman" w:hAnsi="Times New Roman"/>
                  <w:sz w:val="18"/>
                  <w:szCs w:val="18"/>
                  <w:color w:val="auto"/>
                </w:rPr>
                <w:t>Amendment No.2 to Collaboration</w:t>
              </w:r>
            </w:hyperlink>
          </w:p>
        </w:tc>
        <w:tc>
          <w:tcPr>
            <w:tcW w:w="800" w:type="dxa"/>
            <w:vAlign w:val="bottom"/>
            <w:gridSpan w:val="15"/>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001-36740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8/11/2025</w:t>
            </w: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364">
              <w:r>
                <w:rPr>
                  <w:rFonts w:ascii="Times New Roman" w:cs="Times New Roman" w:eastAsia="Times New Roman" w:hAnsi="Times New Roman"/>
                  <w:sz w:val="18"/>
                  <w:szCs w:val="18"/>
                  <w:color w:val="auto"/>
                </w:rPr>
                <w:t>Agreement, by and between Astellas Pharma,</w:t>
              </w:r>
            </w:hyperlink>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w w:val="99"/>
              </w:rPr>
            </w:pPr>
            <w:hyperlink r:id="rId364">
              <w:r>
                <w:rPr>
                  <w:rFonts w:ascii="Times New Roman" w:cs="Times New Roman" w:eastAsia="Times New Roman" w:hAnsi="Times New Roman"/>
                  <w:sz w:val="18"/>
                  <w:szCs w:val="18"/>
                  <w:color w:val="auto"/>
                  <w:w w:val="99"/>
                </w:rPr>
                <w:t>Inc. and FibroGen, Inc., dated June 6, 2025.</w:t>
              </w:r>
            </w:hyperlink>
          </w:p>
        </w:tc>
        <w:tc>
          <w:tcPr>
            <w:tcW w:w="18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56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365">
              <w:r>
                <w:rPr>
                  <w:rFonts w:ascii="Times New Roman" w:cs="Times New Roman" w:eastAsia="Times New Roman" w:hAnsi="Times New Roman"/>
                  <w:sz w:val="18"/>
                  <w:szCs w:val="18"/>
                  <w:color w:val="auto"/>
                </w:rPr>
                <w:t>Anemia License and Collaboration</w:t>
              </w:r>
            </w:hyperlink>
          </w:p>
        </w:tc>
        <w:tc>
          <w:tcPr>
            <w:tcW w:w="800" w:type="dxa"/>
            <w:vAlign w:val="bottom"/>
            <w:gridSpan w:val="15"/>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333-199069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6"/>
        </w:trPr>
        <w:tc>
          <w:tcPr>
            <w:tcW w:w="1300" w:type="dxa"/>
            <w:vAlign w:val="bottom"/>
          </w:tcPr>
          <w:p>
            <w:pPr>
              <w:spacing w:after="0"/>
              <w:rPr>
                <w:sz w:val="17"/>
                <w:szCs w:val="17"/>
                <w:color w:val="auto"/>
              </w:rPr>
            </w:pPr>
          </w:p>
        </w:tc>
        <w:tc>
          <w:tcPr>
            <w:tcW w:w="31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365">
              <w:r>
                <w:rPr>
                  <w:rFonts w:ascii="Times New Roman" w:cs="Times New Roman" w:eastAsia="Times New Roman" w:hAnsi="Times New Roman"/>
                  <w:sz w:val="18"/>
                  <w:szCs w:val="18"/>
                  <w:color w:val="auto"/>
                </w:rPr>
                <w:t>Agreement, by and between FibroGen, Inc.</w:t>
              </w:r>
            </w:hyperlink>
          </w:p>
        </w:tc>
        <w:tc>
          <w:tcPr>
            <w:tcW w:w="200" w:type="dxa"/>
            <w:vAlign w:val="bottom"/>
            <w:gridSpan w:val="3"/>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365">
              <w:r>
                <w:rPr>
                  <w:rFonts w:ascii="Times New Roman" w:cs="Times New Roman" w:eastAsia="Times New Roman" w:hAnsi="Times New Roman"/>
                  <w:sz w:val="18"/>
                  <w:szCs w:val="18"/>
                  <w:color w:val="auto"/>
                </w:rPr>
                <w:t>and Astellas Pharma Inc., effective as of April</w:t>
              </w:r>
            </w:hyperlink>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365">
              <w:r>
                <w:rPr>
                  <w:rFonts w:ascii="Times New Roman" w:cs="Times New Roman" w:eastAsia="Times New Roman" w:hAnsi="Times New Roman"/>
                  <w:sz w:val="18"/>
                  <w:szCs w:val="18"/>
                  <w:color w:val="auto"/>
                  <w:w w:val="97"/>
                </w:rPr>
                <w:t>28, 2006.</w:t>
              </w:r>
            </w:hyperlink>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66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66">
              <w:r>
                <w:rPr>
                  <w:rFonts w:ascii="Times New Roman" w:cs="Times New Roman" w:eastAsia="Times New Roman" w:hAnsi="Times New Roman"/>
                  <w:sz w:val="18"/>
                  <w:szCs w:val="18"/>
                  <w:color w:val="auto"/>
                </w:rPr>
                <w:t>Amendment to Anemia License and</w:t>
              </w:r>
            </w:hyperlink>
          </w:p>
        </w:tc>
        <w:tc>
          <w:tcPr>
            <w:tcW w:w="700" w:type="dxa"/>
            <w:vAlign w:val="bottom"/>
            <w:gridSpan w:val="12"/>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333-199069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66">
              <w:r>
                <w:rPr>
                  <w:rFonts w:ascii="Times New Roman" w:cs="Times New Roman" w:eastAsia="Times New Roman" w:hAnsi="Times New Roman"/>
                  <w:sz w:val="18"/>
                  <w:szCs w:val="18"/>
                  <w:color w:val="auto"/>
                </w:rPr>
                <w:t>Collaboration Agreement, by and between</w:t>
              </w:r>
            </w:hyperlink>
          </w:p>
        </w:tc>
        <w:tc>
          <w:tcPr>
            <w:tcW w:w="24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366">
              <w:r>
                <w:rPr>
                  <w:rFonts w:ascii="Times New Roman" w:cs="Times New Roman" w:eastAsia="Times New Roman" w:hAnsi="Times New Roman"/>
                  <w:sz w:val="18"/>
                  <w:szCs w:val="18"/>
                  <w:color w:val="auto"/>
                </w:rPr>
                <w:t>FibroGen, Inc. and Astellas Pharma Inc.,</w:t>
              </w:r>
            </w:hyperlink>
          </w:p>
        </w:tc>
        <w:tc>
          <w:tcPr>
            <w:tcW w:w="36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auto"/>
              </w:rPr>
            </w:pPr>
            <w:hyperlink r:id="rId366">
              <w:r>
                <w:rPr>
                  <w:rFonts w:ascii="Times New Roman" w:cs="Times New Roman" w:eastAsia="Times New Roman" w:hAnsi="Times New Roman"/>
                  <w:sz w:val="18"/>
                  <w:szCs w:val="18"/>
                  <w:color w:val="auto"/>
                </w:rPr>
                <w:t>effective as of August 31, 2006.</w:t>
              </w:r>
            </w:hyperlink>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1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Amendment No. 2 to Anemia License and</w:t>
              </w:r>
            </w:hyperlink>
          </w:p>
        </w:tc>
        <w:tc>
          <w:tcPr>
            <w:tcW w:w="260" w:type="dxa"/>
            <w:vAlign w:val="bottom"/>
            <w:gridSpan w:val="5"/>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333-199069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Collaboration Agreement, by and between</w:t>
              </w:r>
            </w:hyperlink>
          </w:p>
        </w:tc>
        <w:tc>
          <w:tcPr>
            <w:tcW w:w="24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FibroGen, Inc. and Astellas Pharma Inc.,</w:t>
              </w:r>
            </w:hyperlink>
          </w:p>
        </w:tc>
        <w:tc>
          <w:tcPr>
            <w:tcW w:w="36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367">
              <w:r>
                <w:rPr>
                  <w:rFonts w:ascii="Times New Roman" w:cs="Times New Roman" w:eastAsia="Times New Roman" w:hAnsi="Times New Roman"/>
                  <w:sz w:val="18"/>
                  <w:szCs w:val="18"/>
                  <w:color w:val="auto"/>
                  <w:w w:val="99"/>
                </w:rPr>
                <w:t>effective as of December 1, 2006.</w:t>
              </w:r>
            </w:hyperlink>
          </w:p>
        </w:tc>
        <w:tc>
          <w:tcPr>
            <w:tcW w:w="900" w:type="dxa"/>
            <w:vAlign w:val="bottom"/>
            <w:gridSpan w:val="16"/>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62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Supplement to Anemia License and</w:t>
              </w:r>
            </w:hyperlink>
          </w:p>
        </w:tc>
        <w:tc>
          <w:tcPr>
            <w:tcW w:w="740" w:type="dxa"/>
            <w:vAlign w:val="bottom"/>
            <w:gridSpan w:val="13"/>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333-199069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Collaboration Agreement, by and between</w:t>
              </w:r>
            </w:hyperlink>
          </w:p>
        </w:tc>
        <w:tc>
          <w:tcPr>
            <w:tcW w:w="24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FibroGen, Inc. and Astellas Pharma Inc.,</w:t>
              </w:r>
            </w:hyperlink>
          </w:p>
        </w:tc>
        <w:tc>
          <w:tcPr>
            <w:tcW w:w="36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5"/>
          </w:tcPr>
          <w:p>
            <w:pPr>
              <w:spacing w:after="0" w:line="196" w:lineRule="exact"/>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effective as of April 28, 2006.</w:t>
              </w:r>
            </w:hyperlink>
          </w:p>
        </w:tc>
        <w:tc>
          <w:tcPr>
            <w:tcW w:w="1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560"/>
        </w:trPr>
        <w:tc>
          <w:tcPr>
            <w:tcW w:w="130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116</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1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71">
              <w:r>
                <w:rPr>
                  <w:rFonts w:ascii="Times New Roman" w:cs="Times New Roman" w:eastAsia="Times New Roman" w:hAnsi="Times New Roman"/>
                  <w:sz w:val="18"/>
                  <w:szCs w:val="18"/>
                  <w:color w:val="auto"/>
                </w:rPr>
                <w:t>Amendment No. 3 to Anemia License and</w:t>
              </w:r>
            </w:hyperlink>
          </w:p>
        </w:tc>
        <w:tc>
          <w:tcPr>
            <w:tcW w:w="260" w:type="dxa"/>
            <w:vAlign w:val="bottom"/>
            <w:gridSpan w:val="6"/>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333-199069</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6"/>
        </w:trPr>
        <w:tc>
          <w:tcPr>
            <w:tcW w:w="1300" w:type="dxa"/>
            <w:vAlign w:val="bottom"/>
          </w:tcPr>
          <w:p>
            <w:pPr>
              <w:spacing w:after="0"/>
              <w:rPr>
                <w:sz w:val="17"/>
                <w:szCs w:val="17"/>
                <w:color w:val="auto"/>
              </w:rPr>
            </w:pPr>
          </w:p>
        </w:tc>
        <w:tc>
          <w:tcPr>
            <w:tcW w:w="31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371">
              <w:r>
                <w:rPr>
                  <w:rFonts w:ascii="Times New Roman" w:cs="Times New Roman" w:eastAsia="Times New Roman" w:hAnsi="Times New Roman"/>
                  <w:sz w:val="18"/>
                  <w:szCs w:val="18"/>
                  <w:color w:val="auto"/>
                </w:rPr>
                <w:t>Collaboration Agreement, by and between</w:t>
              </w:r>
            </w:hyperlink>
          </w:p>
        </w:tc>
        <w:tc>
          <w:tcPr>
            <w:tcW w:w="260" w:type="dxa"/>
            <w:vAlign w:val="bottom"/>
            <w:gridSpan w:val="6"/>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371">
              <w:r>
                <w:rPr>
                  <w:rFonts w:ascii="Times New Roman" w:cs="Times New Roman" w:eastAsia="Times New Roman" w:hAnsi="Times New Roman"/>
                  <w:sz w:val="18"/>
                  <w:szCs w:val="18"/>
                  <w:color w:val="auto"/>
                </w:rPr>
                <w:t>FibroGen, Inc. and Astellas Pharma Inc.,</w:t>
              </w:r>
            </w:hyperlink>
          </w:p>
        </w:tc>
        <w:tc>
          <w:tcPr>
            <w:tcW w:w="360" w:type="dxa"/>
            <w:vAlign w:val="bottom"/>
            <w:gridSpan w:val="10"/>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371">
              <w:r>
                <w:rPr>
                  <w:rFonts w:ascii="Times New Roman" w:cs="Times New Roman" w:eastAsia="Times New Roman" w:hAnsi="Times New Roman"/>
                  <w:sz w:val="18"/>
                  <w:szCs w:val="18"/>
                  <w:color w:val="auto"/>
                  <w:w w:val="99"/>
                </w:rPr>
                <w:t>dated as of May 10, 2012.</w:t>
              </w:r>
            </w:hyperlink>
          </w:p>
        </w:tc>
        <w:tc>
          <w:tcPr>
            <w:tcW w:w="1480" w:type="dxa"/>
            <w:vAlign w:val="bottom"/>
            <w:gridSpan w:val="21"/>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Form of Indemnity Agreement by and</w:t>
            </w:r>
          </w:p>
        </w:tc>
        <w:tc>
          <w:tcPr>
            <w:tcW w:w="560" w:type="dxa"/>
            <w:vAlign w:val="bottom"/>
            <w:gridSpan w:val="13"/>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rPr>
              <w:t>between Kyntra Bio, Inc. and its directors and</w:t>
            </w: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officers.</w:t>
            </w: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86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72">
              <w:r>
                <w:rPr>
                  <w:rFonts w:ascii="Times New Roman" w:cs="Times New Roman" w:eastAsia="Times New Roman" w:hAnsi="Times New Roman"/>
                  <w:sz w:val="18"/>
                  <w:szCs w:val="18"/>
                  <w:color w:val="auto"/>
                </w:rPr>
                <w:t>Commercial Supply Agreement by and</w:t>
              </w:r>
            </w:hyperlink>
          </w:p>
        </w:tc>
        <w:tc>
          <w:tcPr>
            <w:tcW w:w="500" w:type="dxa"/>
            <w:vAlign w:val="bottom"/>
            <w:gridSpan w:val="11"/>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001-36740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196"/>
        </w:trPr>
        <w:tc>
          <w:tcPr>
            <w:tcW w:w="1300" w:type="dxa"/>
            <w:vAlign w:val="bottom"/>
          </w:tcPr>
          <w:p>
            <w:pPr>
              <w:spacing w:after="0"/>
              <w:rPr>
                <w:sz w:val="17"/>
                <w:szCs w:val="17"/>
                <w:color w:val="auto"/>
              </w:rPr>
            </w:pPr>
          </w:p>
        </w:tc>
        <w:tc>
          <w:tcPr>
            <w:tcW w:w="3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372">
              <w:r>
                <w:rPr>
                  <w:rFonts w:ascii="Times New Roman" w:cs="Times New Roman" w:eastAsia="Times New Roman" w:hAnsi="Times New Roman"/>
                  <w:sz w:val="18"/>
                  <w:szCs w:val="18"/>
                  <w:color w:val="auto"/>
                </w:rPr>
                <w:t>between FibroGen, Inc. and Catalent Pharma</w:t>
              </w:r>
            </w:hyperlink>
          </w:p>
        </w:tc>
        <w:tc>
          <w:tcPr>
            <w:tcW w:w="6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rFonts w:ascii="Times New Roman" w:cs="Times New Roman" w:eastAsia="Times New Roman" w:hAnsi="Times New Roman"/>
                <w:sz w:val="18"/>
                <w:szCs w:val="18"/>
                <w:color w:val="auto"/>
              </w:rPr>
            </w:pPr>
            <w:hyperlink r:id="rId372">
              <w:r>
                <w:rPr>
                  <w:rFonts w:ascii="Times New Roman" w:cs="Times New Roman" w:eastAsia="Times New Roman" w:hAnsi="Times New Roman"/>
                  <w:sz w:val="18"/>
                  <w:szCs w:val="18"/>
                  <w:color w:val="auto"/>
                </w:rPr>
                <w:t>Solutions, LLC, effective as of January 1,</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auto"/>
              </w:rPr>
            </w:pPr>
            <w:hyperlink r:id="rId372">
              <w:r>
                <w:rPr>
                  <w:rFonts w:ascii="Times New Roman" w:cs="Times New Roman" w:eastAsia="Times New Roman" w:hAnsi="Times New Roman"/>
                  <w:sz w:val="18"/>
                  <w:szCs w:val="18"/>
                  <w:color w:val="auto"/>
                </w:rPr>
                <w:t>2020.</w:t>
              </w:r>
            </w:hyperlink>
          </w:p>
        </w:tc>
        <w:tc>
          <w:tcPr>
            <w:tcW w:w="5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02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Master Supply Agreement by and among</w:t>
              </w:r>
            </w:hyperlink>
          </w:p>
        </w:tc>
        <w:tc>
          <w:tcPr>
            <w:tcW w:w="340" w:type="dxa"/>
            <w:vAlign w:val="bottom"/>
            <w:gridSpan w:val="9"/>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001-36740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3/24/2020</w:t>
            </w:r>
          </w:p>
        </w:tc>
      </w:tr>
      <w:tr>
        <w:trPr>
          <w:trHeight w:val="196"/>
        </w:trPr>
        <w:tc>
          <w:tcPr>
            <w:tcW w:w="1300" w:type="dxa"/>
            <w:vAlign w:val="bottom"/>
          </w:tcPr>
          <w:p>
            <w:pPr>
              <w:spacing w:after="0"/>
              <w:rPr>
                <w:sz w:val="17"/>
                <w:szCs w:val="17"/>
                <w:color w:val="auto"/>
              </w:rPr>
            </w:pPr>
          </w:p>
        </w:tc>
        <w:tc>
          <w:tcPr>
            <w:tcW w:w="2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FibroGen, Inc., Shanghai SynTheAll</w:t>
              </w:r>
            </w:hyperlink>
          </w:p>
        </w:tc>
        <w:tc>
          <w:tcPr>
            <w:tcW w:w="660" w:type="dxa"/>
            <w:vAlign w:val="bottom"/>
            <w:gridSpan w:val="16"/>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Pharmaceutical Co., Ltd. and STA</w:t>
              </w:r>
            </w:hyperlink>
          </w:p>
        </w:tc>
        <w:tc>
          <w:tcPr>
            <w:tcW w:w="820" w:type="dxa"/>
            <w:vAlign w:val="bottom"/>
            <w:gridSpan w:val="19"/>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Pharmaceutical Hong Kong Limited, effective</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March 2, 2020.</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620" w:type="dxa"/>
            <w:vAlign w:val="bottom"/>
            <w:tcBorders>
              <w:bottom w:val="single" w:sz="8" w:color="0000EE"/>
            </w:tcBorders>
            <w:gridSpan w:val="8"/>
          </w:tcPr>
          <w:p>
            <w:pPr>
              <w:spacing w:after="0"/>
              <w:rPr>
                <w:rFonts w:ascii="Times New Roman" w:cs="Times New Roman" w:eastAsia="Times New Roman" w:hAnsi="Times New Roman"/>
                <w:sz w:val="18"/>
                <w:szCs w:val="18"/>
                <w:color w:val="auto"/>
              </w:rPr>
            </w:pPr>
            <w:hyperlink r:id="rId374">
              <w:r>
                <w:rPr>
                  <w:rFonts w:ascii="Times New Roman" w:cs="Times New Roman" w:eastAsia="Times New Roman" w:hAnsi="Times New Roman"/>
                  <w:sz w:val="18"/>
                  <w:szCs w:val="18"/>
                  <w:color w:val="auto"/>
                </w:rPr>
                <w:t>Amendment No.1 to Master Supply</w:t>
              </w:r>
            </w:hyperlink>
          </w:p>
        </w:tc>
        <w:tc>
          <w:tcPr>
            <w:tcW w:w="740" w:type="dxa"/>
            <w:vAlign w:val="bottom"/>
            <w:gridSpan w:val="18"/>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001-36740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8/6/2020</w:t>
            </w:r>
          </w:p>
        </w:tc>
      </w:tr>
      <w:tr>
        <w:trPr>
          <w:trHeight w:val="196"/>
        </w:trPr>
        <w:tc>
          <w:tcPr>
            <w:tcW w:w="1300" w:type="dxa"/>
            <w:vAlign w:val="bottom"/>
          </w:tcPr>
          <w:p>
            <w:pPr>
              <w:spacing w:after="0"/>
              <w:rPr>
                <w:sz w:val="17"/>
                <w:szCs w:val="17"/>
                <w:color w:val="auto"/>
              </w:rPr>
            </w:pPr>
          </w:p>
        </w:tc>
        <w:tc>
          <w:tcPr>
            <w:tcW w:w="30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74">
              <w:r>
                <w:rPr>
                  <w:rFonts w:ascii="Times New Roman" w:cs="Times New Roman" w:eastAsia="Times New Roman" w:hAnsi="Times New Roman"/>
                  <w:sz w:val="18"/>
                  <w:szCs w:val="18"/>
                  <w:color w:val="auto"/>
                </w:rPr>
                <w:t>Agreement by and among FibroGen, Inc.,</w:t>
              </w:r>
            </w:hyperlink>
          </w:p>
        </w:tc>
        <w:tc>
          <w:tcPr>
            <w:tcW w:w="28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w w:val="99"/>
              </w:rPr>
            </w:pPr>
            <w:hyperlink r:id="rId374">
              <w:r>
                <w:rPr>
                  <w:rFonts w:ascii="Times New Roman" w:cs="Times New Roman" w:eastAsia="Times New Roman" w:hAnsi="Times New Roman"/>
                  <w:sz w:val="18"/>
                  <w:szCs w:val="18"/>
                  <w:color w:val="auto"/>
                  <w:w w:val="99"/>
                </w:rPr>
                <w:t>Shanghai SynTheAll Pharmaceutical Co., Ltd.</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w w:val="99"/>
              </w:rPr>
            </w:pPr>
            <w:hyperlink r:id="rId374">
              <w:r>
                <w:rPr>
                  <w:rFonts w:ascii="Times New Roman" w:cs="Times New Roman" w:eastAsia="Times New Roman" w:hAnsi="Times New Roman"/>
                  <w:sz w:val="18"/>
                  <w:szCs w:val="18"/>
                  <w:color w:val="auto"/>
                  <w:w w:val="99"/>
                </w:rPr>
                <w:t>and STA Pharmaceutical Hong Kong Limited,</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rFonts w:ascii="Times New Roman" w:cs="Times New Roman" w:eastAsia="Times New Roman" w:hAnsi="Times New Roman"/>
                <w:sz w:val="18"/>
                <w:szCs w:val="18"/>
                <w:color w:val="auto"/>
              </w:rPr>
            </w:pPr>
            <w:hyperlink r:id="rId374">
              <w:r>
                <w:rPr>
                  <w:rFonts w:ascii="Times New Roman" w:cs="Times New Roman" w:eastAsia="Times New Roman" w:hAnsi="Times New Roman"/>
                  <w:sz w:val="18"/>
                  <w:szCs w:val="18"/>
                  <w:color w:val="auto"/>
                </w:rPr>
                <w:t>effective May 11, 2020.</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660" w:type="dxa"/>
            <w:vAlign w:val="bottom"/>
            <w:tcBorders>
              <w:bottom w:val="single" w:sz="8" w:color="0000EE"/>
            </w:tcBorders>
            <w:gridSpan w:val="9"/>
          </w:tcPr>
          <w:p>
            <w:pPr>
              <w:spacing w:after="0"/>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Amendment No. 2 to Master Supply</w:t>
              </w:r>
            </w:hyperlink>
          </w:p>
        </w:tc>
        <w:tc>
          <w:tcPr>
            <w:tcW w:w="700" w:type="dxa"/>
            <w:vAlign w:val="bottom"/>
            <w:gridSpan w:val="17"/>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001-36740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11/5/2020</w:t>
            </w:r>
          </w:p>
        </w:tc>
      </w:tr>
      <w:tr>
        <w:trPr>
          <w:trHeight w:val="196"/>
        </w:trPr>
        <w:tc>
          <w:tcPr>
            <w:tcW w:w="1300" w:type="dxa"/>
            <w:vAlign w:val="bottom"/>
          </w:tcPr>
          <w:p>
            <w:pPr>
              <w:spacing w:after="0"/>
              <w:rPr>
                <w:sz w:val="17"/>
                <w:szCs w:val="17"/>
                <w:color w:val="auto"/>
              </w:rPr>
            </w:pPr>
          </w:p>
        </w:tc>
        <w:tc>
          <w:tcPr>
            <w:tcW w:w="30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Agreement by and among FibroGen, Inc.,</w:t>
              </w:r>
            </w:hyperlink>
          </w:p>
        </w:tc>
        <w:tc>
          <w:tcPr>
            <w:tcW w:w="28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w w:val="99"/>
              </w:rPr>
            </w:pPr>
            <w:hyperlink r:id="rId375">
              <w:r>
                <w:rPr>
                  <w:rFonts w:ascii="Times New Roman" w:cs="Times New Roman" w:eastAsia="Times New Roman" w:hAnsi="Times New Roman"/>
                  <w:sz w:val="18"/>
                  <w:szCs w:val="18"/>
                  <w:color w:val="auto"/>
                  <w:w w:val="99"/>
                </w:rPr>
                <w:t>Shanghai SynTheAll Pharmaceutical Co., Ltd.</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w w:val="99"/>
              </w:rPr>
            </w:pPr>
            <w:hyperlink r:id="rId375">
              <w:r>
                <w:rPr>
                  <w:rFonts w:ascii="Times New Roman" w:cs="Times New Roman" w:eastAsia="Times New Roman" w:hAnsi="Times New Roman"/>
                  <w:sz w:val="18"/>
                  <w:szCs w:val="18"/>
                  <w:color w:val="auto"/>
                  <w:w w:val="99"/>
                </w:rPr>
                <w:t>and STA Pharmaceutical Hong Kong Limited,</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effective July 24, 2020.</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84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76">
              <w:r>
                <w:rPr>
                  <w:rFonts w:ascii="Times New Roman" w:cs="Times New Roman" w:eastAsia="Times New Roman" w:hAnsi="Times New Roman"/>
                  <w:sz w:val="18"/>
                  <w:szCs w:val="18"/>
                  <w:color w:val="auto"/>
                </w:rPr>
                <w:t>Astellas EU Supply Agreement by and</w:t>
              </w:r>
            </w:hyperlink>
          </w:p>
        </w:tc>
        <w:tc>
          <w:tcPr>
            <w:tcW w:w="520" w:type="dxa"/>
            <w:vAlign w:val="bottom"/>
            <w:gridSpan w:val="12"/>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001-36740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5/10/2021</w:t>
            </w: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376">
              <w:r>
                <w:rPr>
                  <w:rFonts w:ascii="Times New Roman" w:cs="Times New Roman" w:eastAsia="Times New Roman" w:hAnsi="Times New Roman"/>
                  <w:sz w:val="18"/>
                  <w:szCs w:val="18"/>
                  <w:color w:val="auto"/>
                </w:rPr>
                <w:t>between FibroGen, Inc. and Astellas Pharma</w:t>
              </w:r>
            </w:hyperlink>
          </w:p>
        </w:tc>
        <w:tc>
          <w:tcPr>
            <w:tcW w:w="80" w:type="dxa"/>
            <w:vAlign w:val="bottom"/>
            <w:gridSpan w:val="3"/>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rFonts w:ascii="Times New Roman" w:cs="Times New Roman" w:eastAsia="Times New Roman" w:hAnsi="Times New Roman"/>
                <w:sz w:val="18"/>
                <w:szCs w:val="18"/>
                <w:color w:val="auto"/>
              </w:rPr>
            </w:pPr>
            <w:hyperlink r:id="rId376">
              <w:r>
                <w:rPr>
                  <w:rFonts w:ascii="Times New Roman" w:cs="Times New Roman" w:eastAsia="Times New Roman" w:hAnsi="Times New Roman"/>
                  <w:sz w:val="18"/>
                  <w:szCs w:val="18"/>
                  <w:color w:val="auto"/>
                </w:rPr>
                <w:t>Europe Ltd, effective as of January 1, 2021.</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26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auto"/>
              </w:rPr>
            </w:pPr>
            <w:hyperlink r:id="rId377">
              <w:r>
                <w:rPr>
                  <w:rFonts w:ascii="Times New Roman" w:cs="Times New Roman" w:eastAsia="Times New Roman" w:hAnsi="Times New Roman"/>
                  <w:sz w:val="18"/>
                  <w:szCs w:val="18"/>
                  <w:color w:val="auto"/>
                </w:rPr>
                <w:t>Amendment No. 3 to Master Supply</w:t>
              </w:r>
            </w:hyperlink>
          </w:p>
        </w:tc>
        <w:tc>
          <w:tcPr>
            <w:tcW w:w="500" w:type="dxa"/>
            <w:vAlign w:val="bottom"/>
            <w:tcBorders>
              <w:top w:val="single" w:sz="8" w:color="0000EE"/>
            </w:tcBorders>
            <w:gridSpan w:val="13"/>
          </w:tcPr>
          <w:p>
            <w:pPr>
              <w:spacing w:after="0"/>
              <w:rPr>
                <w:sz w:val="24"/>
                <w:szCs w:val="24"/>
                <w:color w:val="auto"/>
              </w:rPr>
            </w:pPr>
          </w:p>
        </w:tc>
        <w:tc>
          <w:tcPr>
            <w:tcW w:w="200" w:type="dxa"/>
            <w:vAlign w:val="bottom"/>
            <w:gridSpan w:val="4"/>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001-36740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5/10/2021</w:t>
            </w:r>
          </w:p>
        </w:tc>
      </w:tr>
      <w:tr>
        <w:trPr>
          <w:trHeight w:val="196"/>
        </w:trPr>
        <w:tc>
          <w:tcPr>
            <w:tcW w:w="1300" w:type="dxa"/>
            <w:vAlign w:val="bottom"/>
          </w:tcPr>
          <w:p>
            <w:pPr>
              <w:spacing w:after="0"/>
              <w:rPr>
                <w:sz w:val="17"/>
                <w:szCs w:val="17"/>
                <w:color w:val="auto"/>
              </w:rPr>
            </w:pPr>
          </w:p>
        </w:tc>
        <w:tc>
          <w:tcPr>
            <w:tcW w:w="30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77">
              <w:r>
                <w:rPr>
                  <w:rFonts w:ascii="Times New Roman" w:cs="Times New Roman" w:eastAsia="Times New Roman" w:hAnsi="Times New Roman"/>
                  <w:sz w:val="18"/>
                  <w:szCs w:val="18"/>
                  <w:color w:val="auto"/>
                </w:rPr>
                <w:t>Agreement by and among FibroGen, Inc.,</w:t>
              </w:r>
            </w:hyperlink>
          </w:p>
        </w:tc>
        <w:tc>
          <w:tcPr>
            <w:tcW w:w="28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377">
              <w:r>
                <w:rPr>
                  <w:rFonts w:ascii="Times New Roman" w:cs="Times New Roman" w:eastAsia="Times New Roman" w:hAnsi="Times New Roman"/>
                  <w:sz w:val="18"/>
                  <w:szCs w:val="18"/>
                  <w:color w:val="auto"/>
                </w:rPr>
                <w:t>Shanghai SynTheAll Pharmaceutical Co.,</w:t>
              </w:r>
            </w:hyperlink>
          </w:p>
        </w:tc>
        <w:tc>
          <w:tcPr>
            <w:tcW w:w="300" w:type="dxa"/>
            <w:vAlign w:val="bottom"/>
            <w:gridSpan w:val="8"/>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77">
              <w:r>
                <w:rPr>
                  <w:rFonts w:ascii="Times New Roman" w:cs="Times New Roman" w:eastAsia="Times New Roman" w:hAnsi="Times New Roman"/>
                  <w:sz w:val="18"/>
                  <w:szCs w:val="18"/>
                  <w:color w:val="auto"/>
                </w:rPr>
                <w:t>Ltd., and STA Pharmaceutical Hong Kong</w:t>
              </w:r>
            </w:hyperlink>
          </w:p>
        </w:tc>
        <w:tc>
          <w:tcPr>
            <w:tcW w:w="240" w:type="dxa"/>
            <w:vAlign w:val="bottom"/>
            <w:gridSpan w:val="5"/>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rFonts w:ascii="Times New Roman" w:cs="Times New Roman" w:eastAsia="Times New Roman" w:hAnsi="Times New Roman"/>
                <w:sz w:val="18"/>
                <w:szCs w:val="18"/>
                <w:color w:val="auto"/>
              </w:rPr>
            </w:pPr>
            <w:hyperlink r:id="rId377">
              <w:r>
                <w:rPr>
                  <w:rFonts w:ascii="Times New Roman" w:cs="Times New Roman" w:eastAsia="Times New Roman" w:hAnsi="Times New Roman"/>
                  <w:sz w:val="18"/>
                  <w:szCs w:val="18"/>
                  <w:color w:val="auto"/>
                </w:rPr>
                <w:t>Limited, dated as of January 12, 2021.</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6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Amendment No. 4 to Master Supply</w:t>
              </w:r>
            </w:hyperlink>
          </w:p>
        </w:tc>
        <w:tc>
          <w:tcPr>
            <w:tcW w:w="100" w:type="dxa"/>
            <w:vAlign w:val="bottom"/>
            <w:tcBorders>
              <w:top w:val="single" w:sz="8" w:color="0000EE"/>
            </w:tcBorders>
            <w:gridSpan w:val="2"/>
          </w:tcPr>
          <w:p>
            <w:pPr>
              <w:spacing w:after="0"/>
              <w:rPr>
                <w:sz w:val="24"/>
                <w:szCs w:val="24"/>
                <w:color w:val="auto"/>
              </w:rPr>
            </w:pPr>
          </w:p>
        </w:tc>
        <w:tc>
          <w:tcPr>
            <w:tcW w:w="600" w:type="dxa"/>
            <w:vAlign w:val="bottom"/>
            <w:gridSpan w:val="15"/>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001-36740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2/28/2022</w:t>
            </w:r>
          </w:p>
        </w:tc>
      </w:tr>
      <w:tr>
        <w:trPr>
          <w:trHeight w:val="196"/>
        </w:trPr>
        <w:tc>
          <w:tcPr>
            <w:tcW w:w="1300" w:type="dxa"/>
            <w:vAlign w:val="bottom"/>
          </w:tcPr>
          <w:p>
            <w:pPr>
              <w:spacing w:after="0"/>
              <w:rPr>
                <w:sz w:val="17"/>
                <w:szCs w:val="17"/>
                <w:color w:val="auto"/>
              </w:rPr>
            </w:pPr>
          </w:p>
        </w:tc>
        <w:tc>
          <w:tcPr>
            <w:tcW w:w="30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Agreement by and among FibroGen, Inc.,</w:t>
              </w:r>
            </w:hyperlink>
          </w:p>
        </w:tc>
        <w:tc>
          <w:tcPr>
            <w:tcW w:w="28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Shanghai SynTheAll Pharmaceutical Co.,</w:t>
              </w:r>
            </w:hyperlink>
          </w:p>
        </w:tc>
        <w:tc>
          <w:tcPr>
            <w:tcW w:w="300" w:type="dxa"/>
            <w:vAlign w:val="bottom"/>
            <w:gridSpan w:val="8"/>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Ltd., and STA Pharmaceutical Hong Kong</w:t>
              </w:r>
            </w:hyperlink>
          </w:p>
        </w:tc>
        <w:tc>
          <w:tcPr>
            <w:tcW w:w="240" w:type="dxa"/>
            <w:vAlign w:val="bottom"/>
            <w:gridSpan w:val="5"/>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Limited, dated as of October 29, 2021.</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33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auto"/>
              </w:rPr>
              <w:t>Form of Executive Officer Change in Control</w:t>
            </w:r>
          </w:p>
        </w:tc>
        <w:tc>
          <w:tcPr>
            <w:tcW w:w="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300" w:type="dxa"/>
            <w:vAlign w:val="bottom"/>
          </w:tcPr>
          <w:p>
            <w:pPr>
              <w:spacing w:after="0"/>
              <w:rPr>
                <w:sz w:val="17"/>
                <w:szCs w:val="17"/>
                <w:color w:val="auto"/>
              </w:rPr>
            </w:pPr>
          </w:p>
        </w:tc>
        <w:tc>
          <w:tcPr>
            <w:tcW w:w="33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and Severance Agreement.</w:t>
            </w: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560"/>
        </w:trPr>
        <w:tc>
          <w:tcPr>
            <w:tcW w:w="13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117</w:t>
            </w: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20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ATM Equity Offering Sales Agreement, by</w:t>
              </w:r>
            </w:hyperlink>
          </w:p>
        </w:tc>
        <w:tc>
          <w:tcPr>
            <w:tcW w:w="1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1.1</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2/24/2025</w:t>
            </w:r>
          </w:p>
        </w:tc>
      </w:tr>
      <w:tr>
        <w:trPr>
          <w:trHeight w:val="196"/>
        </w:trPr>
        <w:tc>
          <w:tcPr>
            <w:tcW w:w="130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and between FibroGen, Inc. and BofA</w:t>
              </w:r>
            </w:hyperlink>
          </w:p>
        </w:tc>
        <w:tc>
          <w:tcPr>
            <w:tcW w:w="52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gridSpan w:val="22"/>
          </w:tcPr>
          <w:p>
            <w:pPr>
              <w:spacing w:after="0" w:line="196" w:lineRule="exact"/>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Securities, Inc., dated as of February 24,</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3"/>
              </w:rPr>
            </w:pPr>
            <w:hyperlink r:id="rId381">
              <w:r>
                <w:rPr>
                  <w:rFonts w:ascii="Times New Roman" w:cs="Times New Roman" w:eastAsia="Times New Roman" w:hAnsi="Times New Roman"/>
                  <w:sz w:val="18"/>
                  <w:szCs w:val="18"/>
                  <w:color w:val="auto"/>
                  <w:w w:val="93"/>
                </w:rPr>
                <w:t>2025.</w:t>
              </w:r>
            </w:hyperlink>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10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82">
              <w:r>
                <w:rPr>
                  <w:rFonts w:ascii="Times New Roman" w:cs="Times New Roman" w:eastAsia="Times New Roman" w:hAnsi="Times New Roman"/>
                  <w:sz w:val="18"/>
                  <w:szCs w:val="18"/>
                  <w:color w:val="auto"/>
                </w:rPr>
                <w:t>Revenue Interest Financing Agreement by</w:t>
              </w:r>
            </w:hyperlink>
          </w:p>
        </w:tc>
        <w:tc>
          <w:tcPr>
            <w:tcW w:w="22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10-K</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10.46</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2/27/2023</w:t>
            </w:r>
          </w:p>
        </w:tc>
      </w:tr>
      <w:tr>
        <w:trPr>
          <w:trHeight w:val="196"/>
        </w:trPr>
        <w:tc>
          <w:tcPr>
            <w:tcW w:w="1300" w:type="dxa"/>
            <w:vAlign w:val="bottom"/>
          </w:tcPr>
          <w:p>
            <w:pPr>
              <w:spacing w:after="0"/>
              <w:rPr>
                <w:sz w:val="17"/>
                <w:szCs w:val="17"/>
                <w:color w:val="auto"/>
              </w:rPr>
            </w:pPr>
          </w:p>
        </w:tc>
        <w:tc>
          <w:tcPr>
            <w:tcW w:w="32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382">
              <w:r>
                <w:rPr>
                  <w:rFonts w:ascii="Times New Roman" w:cs="Times New Roman" w:eastAsia="Times New Roman" w:hAnsi="Times New Roman"/>
                  <w:sz w:val="18"/>
                  <w:szCs w:val="18"/>
                  <w:color w:val="auto"/>
                </w:rPr>
                <w:t>and between FibroGen, Inc. and NQ Project</w:t>
              </w:r>
            </w:hyperlink>
          </w:p>
        </w:tc>
        <w:tc>
          <w:tcPr>
            <w:tcW w:w="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w w:val="99"/>
              </w:rPr>
            </w:pPr>
            <w:hyperlink r:id="rId382">
              <w:r>
                <w:rPr>
                  <w:rFonts w:ascii="Times New Roman" w:cs="Times New Roman" w:eastAsia="Times New Roman" w:hAnsi="Times New Roman"/>
                  <w:sz w:val="18"/>
                  <w:szCs w:val="18"/>
                  <w:color w:val="auto"/>
                  <w:w w:val="99"/>
                </w:rPr>
                <w:t>Phoebus, L.P., dated as of November 4, 2022.</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302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83">
              <w:r>
                <w:rPr>
                  <w:rFonts w:ascii="Times New Roman" w:cs="Times New Roman" w:eastAsia="Times New Roman" w:hAnsi="Times New Roman"/>
                  <w:sz w:val="18"/>
                  <w:szCs w:val="18"/>
                  <w:color w:val="auto"/>
                </w:rPr>
                <w:t>Letter Agreement by and among Astellas</w:t>
              </w:r>
            </w:hyperlink>
          </w:p>
        </w:tc>
        <w:tc>
          <w:tcPr>
            <w:tcW w:w="30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10-K</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10.47</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2/27/2023</w:t>
            </w: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383">
              <w:r>
                <w:rPr>
                  <w:rFonts w:ascii="Times New Roman" w:cs="Times New Roman" w:eastAsia="Times New Roman" w:hAnsi="Times New Roman"/>
                  <w:sz w:val="18"/>
                  <w:szCs w:val="18"/>
                  <w:color w:val="auto"/>
                </w:rPr>
                <w:t>Pharma Inc., Astellas Pharma Europe Ltd.,</w:t>
              </w:r>
            </w:hyperlink>
          </w:p>
        </w:tc>
        <w:tc>
          <w:tcPr>
            <w:tcW w:w="18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383">
              <w:r>
                <w:rPr>
                  <w:rFonts w:ascii="Times New Roman" w:cs="Times New Roman" w:eastAsia="Times New Roman" w:hAnsi="Times New Roman"/>
                  <w:sz w:val="18"/>
                  <w:szCs w:val="18"/>
                  <w:color w:val="auto"/>
                </w:rPr>
                <w:t>and FibroGen, Inc., effective as of November</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5"/>
              </w:rPr>
            </w:pPr>
            <w:hyperlink r:id="rId383">
              <w:r>
                <w:rPr>
                  <w:rFonts w:ascii="Times New Roman" w:cs="Times New Roman" w:eastAsia="Times New Roman" w:hAnsi="Times New Roman"/>
                  <w:sz w:val="18"/>
                  <w:szCs w:val="18"/>
                  <w:color w:val="auto"/>
                  <w:w w:val="95"/>
                </w:rPr>
                <w:t>4, 2022.</w:t>
              </w:r>
            </w:hyperlink>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02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84">
              <w:r>
                <w:rPr>
                  <w:rFonts w:ascii="Times New Roman" w:cs="Times New Roman" w:eastAsia="Times New Roman" w:hAnsi="Times New Roman"/>
                  <w:sz w:val="18"/>
                  <w:szCs w:val="18"/>
                  <w:color w:val="auto"/>
                </w:rPr>
                <w:t>Amendment No.1 to Commercial Supply</w:t>
              </w:r>
            </w:hyperlink>
          </w:p>
        </w:tc>
        <w:tc>
          <w:tcPr>
            <w:tcW w:w="30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5/8/2023</w:t>
            </w: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384">
              <w:r>
                <w:rPr>
                  <w:rFonts w:ascii="Times New Roman" w:cs="Times New Roman" w:eastAsia="Times New Roman" w:hAnsi="Times New Roman"/>
                  <w:sz w:val="18"/>
                  <w:szCs w:val="18"/>
                  <w:color w:val="auto"/>
                </w:rPr>
                <w:t>Agreement (Roxadustat) by and between</w:t>
              </w:r>
            </w:hyperlink>
          </w:p>
        </w:tc>
        <w:tc>
          <w:tcPr>
            <w:tcW w:w="320" w:type="dxa"/>
            <w:vAlign w:val="bottom"/>
            <w:gridSpan w:val="10"/>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84">
              <w:r>
                <w:rPr>
                  <w:rFonts w:ascii="Times New Roman" w:cs="Times New Roman" w:eastAsia="Times New Roman" w:hAnsi="Times New Roman"/>
                  <w:sz w:val="18"/>
                  <w:szCs w:val="18"/>
                  <w:color w:val="auto"/>
                </w:rPr>
                <w:t>FibroGen, Inc. and its Affiliates and Catalent</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384">
              <w:r>
                <w:rPr>
                  <w:rFonts w:ascii="Times New Roman" w:cs="Times New Roman" w:eastAsia="Times New Roman" w:hAnsi="Times New Roman"/>
                  <w:sz w:val="18"/>
                  <w:szCs w:val="18"/>
                  <w:color w:val="auto"/>
                </w:rPr>
                <w:t>Pharma Solutions, LLC, effective as of</w:t>
              </w:r>
            </w:hyperlink>
          </w:p>
        </w:tc>
        <w:tc>
          <w:tcPr>
            <w:tcW w:w="460" w:type="dxa"/>
            <w:vAlign w:val="bottom"/>
            <w:gridSpan w:val="13"/>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384">
              <w:r>
                <w:rPr>
                  <w:rFonts w:ascii="Times New Roman" w:cs="Times New Roman" w:eastAsia="Times New Roman" w:hAnsi="Times New Roman"/>
                  <w:sz w:val="18"/>
                  <w:szCs w:val="18"/>
                  <w:color w:val="auto"/>
                  <w:w w:val="99"/>
                </w:rPr>
                <w:t>January 1, 2023.</w:t>
              </w:r>
            </w:hyperlink>
          </w:p>
        </w:tc>
        <w:tc>
          <w:tcPr>
            <w:tcW w:w="2120" w:type="dxa"/>
            <w:vAlign w:val="bottom"/>
            <w:gridSpan w:val="19"/>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310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85">
              <w:r>
                <w:rPr>
                  <w:rFonts w:ascii="Times New Roman" w:cs="Times New Roman" w:eastAsia="Times New Roman" w:hAnsi="Times New Roman"/>
                  <w:sz w:val="18"/>
                  <w:szCs w:val="18"/>
                  <w:color w:val="auto"/>
                </w:rPr>
                <w:t>Offer Letter, dated July 23, 2023, between</w:t>
              </w:r>
            </w:hyperlink>
          </w:p>
        </w:tc>
        <w:tc>
          <w:tcPr>
            <w:tcW w:w="22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7/25/2023</w:t>
            </w:r>
          </w:p>
        </w:tc>
      </w:tr>
      <w:tr>
        <w:trPr>
          <w:trHeight w:val="196"/>
        </w:trPr>
        <w:tc>
          <w:tcPr>
            <w:tcW w:w="1300" w:type="dxa"/>
            <w:vAlign w:val="bottom"/>
          </w:tcPr>
          <w:p>
            <w:pPr>
              <w:spacing w:after="0"/>
              <w:rPr>
                <w:sz w:val="17"/>
                <w:szCs w:val="17"/>
                <w:color w:val="auto"/>
              </w:rPr>
            </w:pPr>
          </w:p>
        </w:tc>
        <w:tc>
          <w:tcPr>
            <w:tcW w:w="2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385">
              <w:r>
                <w:rPr>
                  <w:rFonts w:ascii="Times New Roman" w:cs="Times New Roman" w:eastAsia="Times New Roman" w:hAnsi="Times New Roman"/>
                  <w:sz w:val="18"/>
                  <w:szCs w:val="18"/>
                  <w:color w:val="auto"/>
                  <w:w w:val="99"/>
                </w:rPr>
                <w:t>FibroGen, Inc. and Thane Wettig.</w:t>
              </w:r>
            </w:hyperlink>
          </w:p>
        </w:tc>
        <w:tc>
          <w:tcPr>
            <w:tcW w:w="880" w:type="dxa"/>
            <w:vAlign w:val="bottom"/>
            <w:gridSpan w:val="1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292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386">
              <w:r>
                <w:rPr>
                  <w:rFonts w:ascii="Times New Roman" w:cs="Times New Roman" w:eastAsia="Times New Roman" w:hAnsi="Times New Roman"/>
                  <w:sz w:val="18"/>
                  <w:szCs w:val="18"/>
                  <w:color w:val="auto"/>
                </w:rPr>
                <w:t>First Amended and Restated Evaluation</w:t>
              </w:r>
            </w:hyperlink>
          </w:p>
        </w:tc>
        <w:tc>
          <w:tcPr>
            <w:tcW w:w="40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8/6/2024</w:t>
            </w: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386">
              <w:r>
                <w:rPr>
                  <w:rFonts w:ascii="Times New Roman" w:cs="Times New Roman" w:eastAsia="Times New Roman" w:hAnsi="Times New Roman"/>
                  <w:sz w:val="18"/>
                  <w:szCs w:val="18"/>
                  <w:color w:val="auto"/>
                </w:rPr>
                <w:t>Agreement by and between FibroGen, Inc.</w:t>
              </w:r>
            </w:hyperlink>
          </w:p>
        </w:tc>
        <w:tc>
          <w:tcPr>
            <w:tcW w:w="18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gridSpan w:val="22"/>
          </w:tcPr>
          <w:p>
            <w:pPr>
              <w:spacing w:after="0" w:line="196" w:lineRule="exact"/>
              <w:rPr>
                <w:rFonts w:ascii="Times New Roman" w:cs="Times New Roman" w:eastAsia="Times New Roman" w:hAnsi="Times New Roman"/>
                <w:sz w:val="18"/>
                <w:szCs w:val="18"/>
                <w:color w:val="auto"/>
              </w:rPr>
            </w:pPr>
            <w:hyperlink r:id="rId386">
              <w:r>
                <w:rPr>
                  <w:rFonts w:ascii="Times New Roman" w:cs="Times New Roman" w:eastAsia="Times New Roman" w:hAnsi="Times New Roman"/>
                  <w:sz w:val="18"/>
                  <w:szCs w:val="18"/>
                  <w:color w:val="auto"/>
                </w:rPr>
                <w:t>and Fortis Therapeutics, Inc., dated June 6,</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3"/>
              </w:rPr>
            </w:pPr>
            <w:hyperlink r:id="rId386">
              <w:r>
                <w:rPr>
                  <w:rFonts w:ascii="Times New Roman" w:cs="Times New Roman" w:eastAsia="Times New Roman" w:hAnsi="Times New Roman"/>
                  <w:sz w:val="18"/>
                  <w:szCs w:val="18"/>
                  <w:color w:val="auto"/>
                  <w:w w:val="93"/>
                </w:rPr>
                <w:t>2024.</w:t>
              </w:r>
            </w:hyperlink>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2640" w:type="dxa"/>
            <w:vAlign w:val="bottom"/>
            <w:tcBorders>
              <w:bottom w:val="single" w:sz="8" w:color="0000EE"/>
            </w:tcBorders>
            <w:gridSpan w:val="7"/>
          </w:tcPr>
          <w:p>
            <w:pPr>
              <w:spacing w:after="0"/>
              <w:rPr>
                <w:rFonts w:ascii="Times New Roman" w:cs="Times New Roman" w:eastAsia="Times New Roman" w:hAnsi="Times New Roman"/>
                <w:sz w:val="18"/>
                <w:szCs w:val="18"/>
                <w:color w:val="auto"/>
              </w:rPr>
            </w:pPr>
            <w:hyperlink r:id="rId387">
              <w:r>
                <w:rPr>
                  <w:rFonts w:ascii="Times New Roman" w:cs="Times New Roman" w:eastAsia="Times New Roman" w:hAnsi="Times New Roman"/>
                  <w:sz w:val="18"/>
                  <w:szCs w:val="18"/>
                  <w:color w:val="auto"/>
                </w:rPr>
                <w:t>First Amended and Restated Option</w:t>
              </w:r>
            </w:hyperlink>
          </w:p>
        </w:tc>
        <w:tc>
          <w:tcPr>
            <w:tcW w:w="680" w:type="dxa"/>
            <w:vAlign w:val="bottom"/>
            <w:gridSpan w:val="15"/>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8/6/2024</w:t>
            </w: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w w:val="99"/>
              </w:rPr>
            </w:pPr>
            <w:hyperlink r:id="rId387">
              <w:r>
                <w:rPr>
                  <w:rFonts w:ascii="Times New Roman" w:cs="Times New Roman" w:eastAsia="Times New Roman" w:hAnsi="Times New Roman"/>
                  <w:sz w:val="18"/>
                  <w:szCs w:val="18"/>
                  <w:color w:val="auto"/>
                  <w:w w:val="99"/>
                </w:rPr>
                <w:t>Agreement and Plan of Merger by and among</w:t>
              </w:r>
            </w:hyperlink>
          </w:p>
        </w:tc>
        <w:tc>
          <w:tcPr>
            <w:tcW w:w="40" w:type="dxa"/>
            <w:vAlign w:val="bottom"/>
            <w:tcBorders>
              <w:bottom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87">
              <w:r>
                <w:rPr>
                  <w:rFonts w:ascii="Times New Roman" w:cs="Times New Roman" w:eastAsia="Times New Roman" w:hAnsi="Times New Roman"/>
                  <w:sz w:val="18"/>
                  <w:szCs w:val="18"/>
                  <w:color w:val="auto"/>
                </w:rPr>
                <w:t>FibroGen, Inc., Fortis Therapeutics, Inc., and</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387">
              <w:r>
                <w:rPr>
                  <w:rFonts w:ascii="Times New Roman" w:cs="Times New Roman" w:eastAsia="Times New Roman" w:hAnsi="Times New Roman"/>
                  <w:sz w:val="18"/>
                  <w:szCs w:val="18"/>
                  <w:color w:val="auto"/>
                </w:rPr>
                <w:t>Shareholder Representative Services LLC,</w:t>
              </w:r>
            </w:hyperlink>
          </w:p>
        </w:tc>
        <w:tc>
          <w:tcPr>
            <w:tcW w:w="2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387">
              <w:r>
                <w:rPr>
                  <w:rFonts w:ascii="Times New Roman" w:cs="Times New Roman" w:eastAsia="Times New Roman" w:hAnsi="Times New Roman"/>
                  <w:sz w:val="18"/>
                  <w:szCs w:val="18"/>
                  <w:color w:val="auto"/>
                  <w:w w:val="98"/>
                </w:rPr>
                <w:t>dated June 6, 2024.</w:t>
              </w:r>
            </w:hyperlink>
          </w:p>
        </w:tc>
        <w:tc>
          <w:tcPr>
            <w:tcW w:w="1920" w:type="dxa"/>
            <w:vAlign w:val="bottom"/>
            <w:gridSpan w:val="18"/>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2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88">
              <w:r>
                <w:rPr>
                  <w:rFonts w:ascii="Times New Roman" w:cs="Times New Roman" w:eastAsia="Times New Roman" w:hAnsi="Times New Roman"/>
                  <w:sz w:val="18"/>
                  <w:szCs w:val="18"/>
                  <w:color w:val="auto"/>
                </w:rPr>
                <w:t>Amendment No.1 to the First Amended and</w:t>
              </w:r>
            </w:hyperlink>
          </w:p>
        </w:tc>
        <w:tc>
          <w:tcPr>
            <w:tcW w:w="1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5/12/2025</w:t>
            </w:r>
          </w:p>
        </w:tc>
      </w:tr>
      <w:tr>
        <w:trPr>
          <w:trHeight w:val="196"/>
        </w:trPr>
        <w:tc>
          <w:tcPr>
            <w:tcW w:w="1300" w:type="dxa"/>
            <w:vAlign w:val="bottom"/>
          </w:tcPr>
          <w:p>
            <w:pPr>
              <w:spacing w:after="0"/>
              <w:rPr>
                <w:sz w:val="17"/>
                <w:szCs w:val="17"/>
                <w:color w:val="auto"/>
              </w:rPr>
            </w:pPr>
          </w:p>
        </w:tc>
        <w:tc>
          <w:tcPr>
            <w:tcW w:w="29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388">
              <w:r>
                <w:rPr>
                  <w:rFonts w:ascii="Times New Roman" w:cs="Times New Roman" w:eastAsia="Times New Roman" w:hAnsi="Times New Roman"/>
                  <w:sz w:val="18"/>
                  <w:szCs w:val="18"/>
                  <w:color w:val="auto"/>
                </w:rPr>
                <w:t>Restated Evaluation Agreement, by and</w:t>
              </w:r>
            </w:hyperlink>
          </w:p>
        </w:tc>
        <w:tc>
          <w:tcPr>
            <w:tcW w:w="40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388">
              <w:r>
                <w:rPr>
                  <w:rFonts w:ascii="Times New Roman" w:cs="Times New Roman" w:eastAsia="Times New Roman" w:hAnsi="Times New Roman"/>
                  <w:sz w:val="18"/>
                  <w:szCs w:val="18"/>
                  <w:color w:val="auto"/>
                </w:rPr>
                <w:t>between Fortis Therapeutics and FibroGen,</w:t>
              </w:r>
            </w:hyperlink>
          </w:p>
        </w:tc>
        <w:tc>
          <w:tcPr>
            <w:tcW w:w="1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gridSpan w:val="22"/>
          </w:tcPr>
          <w:p>
            <w:pPr>
              <w:spacing w:after="0" w:line="196" w:lineRule="exact"/>
              <w:rPr>
                <w:rFonts w:ascii="Times New Roman" w:cs="Times New Roman" w:eastAsia="Times New Roman" w:hAnsi="Times New Roman"/>
                <w:sz w:val="18"/>
                <w:szCs w:val="18"/>
                <w:color w:val="auto"/>
              </w:rPr>
            </w:pPr>
            <w:hyperlink r:id="rId388">
              <w:r>
                <w:rPr>
                  <w:rFonts w:ascii="Times New Roman" w:cs="Times New Roman" w:eastAsia="Times New Roman" w:hAnsi="Times New Roman"/>
                  <w:sz w:val="18"/>
                  <w:szCs w:val="18"/>
                  <w:color w:val="auto"/>
                </w:rPr>
                <w:t>Inc., dated as of March 28, 2025.</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2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89">
              <w:r>
                <w:rPr>
                  <w:rFonts w:ascii="Times New Roman" w:cs="Times New Roman" w:eastAsia="Times New Roman" w:hAnsi="Times New Roman"/>
                  <w:sz w:val="18"/>
                  <w:szCs w:val="18"/>
                  <w:color w:val="auto"/>
                </w:rPr>
                <w:t>Amendment No.1 to the First Amended and</w:t>
              </w:r>
            </w:hyperlink>
          </w:p>
        </w:tc>
        <w:tc>
          <w:tcPr>
            <w:tcW w:w="1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10-Q</w:t>
            </w:r>
          </w:p>
        </w:tc>
        <w:tc>
          <w:tcPr>
            <w:tcW w:w="1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5/12/2025</w:t>
            </w:r>
          </w:p>
        </w:tc>
      </w:tr>
      <w:tr>
        <w:trPr>
          <w:trHeight w:val="196"/>
        </w:trPr>
        <w:tc>
          <w:tcPr>
            <w:tcW w:w="1300" w:type="dxa"/>
            <w:vAlign w:val="bottom"/>
          </w:tcPr>
          <w:p>
            <w:pPr>
              <w:spacing w:after="0"/>
              <w:rPr>
                <w:sz w:val="17"/>
                <w:szCs w:val="17"/>
                <w:color w:val="auto"/>
              </w:rPr>
            </w:pPr>
          </w:p>
        </w:tc>
        <w:tc>
          <w:tcPr>
            <w:tcW w:w="29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389">
              <w:r>
                <w:rPr>
                  <w:rFonts w:ascii="Times New Roman" w:cs="Times New Roman" w:eastAsia="Times New Roman" w:hAnsi="Times New Roman"/>
                  <w:sz w:val="18"/>
                  <w:szCs w:val="18"/>
                  <w:color w:val="auto"/>
                </w:rPr>
                <w:t>Restated Option Agreement and Plan of</w:t>
              </w:r>
            </w:hyperlink>
          </w:p>
        </w:tc>
        <w:tc>
          <w:tcPr>
            <w:tcW w:w="40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9"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389">
        <w:r>
          <w:rPr>
            <w:rFonts w:ascii="Times New Roman" w:cs="Times New Roman" w:eastAsia="Times New Roman" w:hAnsi="Times New Roman"/>
            <w:sz w:val="18"/>
            <w:szCs w:val="18"/>
            <w:color w:val="auto"/>
          </w:rPr>
          <w:t>Merger, by and between Fortis Therapeutics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-7620</wp:posOffset>
            </wp:positionV>
            <wp:extent cx="20529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0">
                      <a:extLst>
                        <a:ext uri="{28A0092B-C50C-407E-A947-70E740481C1C}"/>
                      </a:extLst>
                    </a:blip>
                    <a:srcRect/>
                    <a:stretch>
                      <a:fillRect/>
                    </a:stretch>
                  </pic:blipFill>
                  <pic:spPr bwMode="auto">
                    <a:xfrm>
                      <a:off x="0" y="0"/>
                      <a:ext cx="2052955" cy="8890"/>
                    </a:xfrm>
                    <a:prstGeom prst="rect">
                      <a:avLst/>
                    </a:prstGeom>
                    <a:noFill/>
                  </pic:spPr>
                </pic:pic>
              </a:graphicData>
            </a:graphic>
          </wp:anchor>
        </w:drawing>
      </w:r>
    </w:p>
    <w:p>
      <w:pPr>
        <w:spacing w:after="0" w:line="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389">
        <w:r>
          <w:rPr>
            <w:rFonts w:ascii="Times New Roman" w:cs="Times New Roman" w:eastAsia="Times New Roman" w:hAnsi="Times New Roman"/>
            <w:sz w:val="18"/>
            <w:szCs w:val="18"/>
            <w:color w:val="auto"/>
          </w:rPr>
          <w:t>and FibroGen, Inc., dated as of March 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-19050</wp:posOffset>
            </wp:positionV>
            <wp:extent cx="19418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1941830" cy="8890"/>
                    </a:xfrm>
                    <a:prstGeom prst="rect">
                      <a:avLst/>
                    </a:prstGeom>
                    <a:noFill/>
                  </pic:spPr>
                </pic:pic>
              </a:graphicData>
            </a:graphic>
          </wp:anchor>
        </w:drawing>
      </w:r>
    </w:p>
    <w:p>
      <w:pPr>
        <w:ind w:left="1300"/>
        <w:spacing w:after="0"/>
        <w:rPr>
          <w:rFonts w:ascii="Times New Roman" w:cs="Times New Roman" w:eastAsia="Times New Roman" w:hAnsi="Times New Roman"/>
          <w:sz w:val="18"/>
          <w:szCs w:val="18"/>
          <w:color w:val="auto"/>
        </w:rPr>
      </w:pPr>
      <w:hyperlink r:id="rId389">
        <w:r>
          <w:rPr>
            <w:rFonts w:ascii="Times New Roman" w:cs="Times New Roman" w:eastAsia="Times New Roman" w:hAnsi="Times New Roman"/>
            <w:sz w:val="18"/>
            <w:szCs w:val="18"/>
            <w:color w:val="auto"/>
          </w:rPr>
          <w:t>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-19050</wp:posOffset>
            </wp:positionV>
            <wp:extent cx="2571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72" w:right="59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2960" w:type="dxa"/>
            <w:vAlign w:val="bottom"/>
            <w:tcBorders>
              <w:bottom w:val="single" w:sz="8" w:color="0000EE"/>
            </w:tcBorders>
            <w:gridSpan w:val="3"/>
          </w:tcPr>
          <w:p>
            <w:pPr>
              <w:spacing w:after="0"/>
              <w:rPr>
                <w:rFonts w:ascii="Times New Roman" w:cs="Times New Roman" w:eastAsia="Times New Roman" w:hAnsi="Times New Roman"/>
                <w:sz w:val="18"/>
                <w:szCs w:val="18"/>
                <w:color w:val="auto"/>
              </w:rPr>
            </w:pPr>
            <w:hyperlink r:id="rId394">
              <w:r>
                <w:rPr>
                  <w:rFonts w:ascii="Times New Roman" w:cs="Times New Roman" w:eastAsia="Times New Roman" w:hAnsi="Times New Roman"/>
                  <w:sz w:val="18"/>
                  <w:szCs w:val="18"/>
                  <w:color w:val="auto"/>
                </w:rPr>
                <w:t>Termination Agreement by and between</w:t>
              </w:r>
            </w:hyperlink>
          </w:p>
        </w:tc>
        <w:tc>
          <w:tcPr>
            <w:tcW w:w="400" w:type="dxa"/>
            <w:vAlign w:val="bottom"/>
            <w:gridSpan w:val="8"/>
          </w:tcPr>
          <w:p>
            <w:pPr>
              <w:spacing w:after="0"/>
              <w:rPr>
                <w:sz w:val="17"/>
                <w:szCs w:val="17"/>
                <w:color w:val="auto"/>
              </w:rPr>
            </w:pPr>
          </w:p>
        </w:tc>
        <w:tc>
          <w:tcPr>
            <w:tcW w:w="15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10-Q</w:t>
            </w:r>
          </w:p>
        </w:tc>
        <w:tc>
          <w:tcPr>
            <w:tcW w:w="2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001-36740</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11/10/2025</w:t>
            </w: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394">
              <w:r>
                <w:rPr>
                  <w:rFonts w:ascii="Times New Roman" w:cs="Times New Roman" w:eastAsia="Times New Roman" w:hAnsi="Times New Roman"/>
                  <w:sz w:val="18"/>
                  <w:szCs w:val="18"/>
                  <w:color w:val="auto"/>
                </w:rPr>
                <w:t>FibroGen, Inc. and AstraZeneca AB, effective</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rPr>
            </w:pPr>
            <w:hyperlink r:id="rId394">
              <w:r>
                <w:rPr>
                  <w:rFonts w:ascii="Times New Roman" w:cs="Times New Roman" w:eastAsia="Times New Roman" w:hAnsi="Times New Roman"/>
                  <w:sz w:val="18"/>
                  <w:szCs w:val="18"/>
                  <w:color w:val="auto"/>
                </w:rPr>
                <w:t>as of February 25, 2024, as amended and</w:t>
              </w:r>
            </w:hyperlink>
          </w:p>
        </w:tc>
        <w:tc>
          <w:tcPr>
            <w:tcW w:w="360" w:type="dxa"/>
            <w:vAlign w:val="bottom"/>
            <w:gridSpan w:val="7"/>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9"/>
              </w:rPr>
            </w:pPr>
            <w:hyperlink r:id="rId394">
              <w:r>
                <w:rPr>
                  <w:rFonts w:ascii="Times New Roman" w:cs="Times New Roman" w:eastAsia="Times New Roman" w:hAnsi="Times New Roman"/>
                  <w:sz w:val="18"/>
                  <w:szCs w:val="18"/>
                  <w:color w:val="auto"/>
                  <w:w w:val="99"/>
                </w:rPr>
                <w:t>restated on August 29, 2025.</w:t>
              </w:r>
            </w:hyperlink>
          </w:p>
        </w:tc>
        <w:tc>
          <w:tcPr>
            <w:tcW w:w="1280" w:type="dxa"/>
            <w:vAlign w:val="bottom"/>
            <w:gridSpan w:val="10"/>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3060" w:type="dxa"/>
            <w:vAlign w:val="bottom"/>
            <w:tcBorders>
              <w:bottom w:val="single" w:sz="8" w:color="0000EE"/>
            </w:tcBorders>
            <w:gridSpan w:val="6"/>
          </w:tcPr>
          <w:p>
            <w:pPr>
              <w:spacing w:after="0"/>
              <w:rPr>
                <w:rFonts w:ascii="Times New Roman" w:cs="Times New Roman" w:eastAsia="Times New Roman" w:hAnsi="Times New Roman"/>
                <w:sz w:val="18"/>
                <w:szCs w:val="18"/>
                <w:color w:val="auto"/>
              </w:rPr>
            </w:pPr>
            <w:hyperlink r:id="rId395">
              <w:r>
                <w:rPr>
                  <w:rFonts w:ascii="Times New Roman" w:cs="Times New Roman" w:eastAsia="Times New Roman" w:hAnsi="Times New Roman"/>
                  <w:sz w:val="18"/>
                  <w:szCs w:val="18"/>
                  <w:color w:val="auto"/>
                </w:rPr>
                <w:t>Share Purchase Agreement by and among</w:t>
              </w:r>
            </w:hyperlink>
          </w:p>
        </w:tc>
        <w:tc>
          <w:tcPr>
            <w:tcW w:w="300" w:type="dxa"/>
            <w:vAlign w:val="bottom"/>
            <w:gridSpan w:val="5"/>
          </w:tcPr>
          <w:p>
            <w:pPr>
              <w:spacing w:after="0"/>
              <w:rPr>
                <w:sz w:val="24"/>
                <w:szCs w:val="24"/>
                <w:color w:val="auto"/>
              </w:rPr>
            </w:pPr>
          </w:p>
        </w:tc>
        <w:tc>
          <w:tcPr>
            <w:tcW w:w="15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10-Q</w:t>
            </w:r>
          </w:p>
        </w:tc>
        <w:tc>
          <w:tcPr>
            <w:tcW w:w="2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001-36740</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5/12/2025</w:t>
            </w:r>
          </w:p>
        </w:tc>
      </w:tr>
      <w:tr>
        <w:trPr>
          <w:trHeight w:val="196"/>
        </w:trPr>
        <w:tc>
          <w:tcPr>
            <w:tcW w:w="1300" w:type="dxa"/>
            <w:vAlign w:val="bottom"/>
          </w:tcPr>
          <w:p>
            <w:pPr>
              <w:spacing w:after="0"/>
              <w:rPr>
                <w:sz w:val="17"/>
                <w:szCs w:val="17"/>
                <w:color w:val="auto"/>
              </w:rPr>
            </w:pPr>
          </w:p>
        </w:tc>
        <w:tc>
          <w:tcPr>
            <w:tcW w:w="3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rPr>
            </w:pPr>
            <w:hyperlink r:id="rId395">
              <w:r>
                <w:rPr>
                  <w:rFonts w:ascii="Times New Roman" w:cs="Times New Roman" w:eastAsia="Times New Roman" w:hAnsi="Times New Roman"/>
                  <w:sz w:val="18"/>
                  <w:szCs w:val="18"/>
                  <w:color w:val="auto"/>
                </w:rPr>
                <w:t>AstraZeneca Treasury Limited, FibroGen</w:t>
              </w:r>
            </w:hyperlink>
          </w:p>
        </w:tc>
        <w:tc>
          <w:tcPr>
            <w:tcW w:w="32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395">
              <w:r>
                <w:rPr>
                  <w:rFonts w:ascii="Times New Roman" w:cs="Times New Roman" w:eastAsia="Times New Roman" w:hAnsi="Times New Roman"/>
                  <w:sz w:val="18"/>
                  <w:szCs w:val="18"/>
                  <w:color w:val="auto"/>
                </w:rPr>
                <w:t>China Anemia Holdings, Ltd., and FibroGen,</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60" w:type="dxa"/>
            <w:vAlign w:val="bottom"/>
            <w:gridSpan w:val="11"/>
          </w:tcPr>
          <w:p>
            <w:pPr>
              <w:spacing w:after="0" w:line="196" w:lineRule="exact"/>
              <w:rPr>
                <w:rFonts w:ascii="Times New Roman" w:cs="Times New Roman" w:eastAsia="Times New Roman" w:hAnsi="Times New Roman"/>
                <w:sz w:val="18"/>
                <w:szCs w:val="18"/>
                <w:color w:val="auto"/>
              </w:rPr>
            </w:pPr>
            <w:hyperlink r:id="rId395">
              <w:r>
                <w:rPr>
                  <w:rFonts w:ascii="Times New Roman" w:cs="Times New Roman" w:eastAsia="Times New Roman" w:hAnsi="Times New Roman"/>
                  <w:sz w:val="18"/>
                  <w:szCs w:val="18"/>
                  <w:color w:val="auto"/>
                </w:rPr>
                <w:t>Inc., dated as of February 20, 2025.</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336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396">
              <w:r>
                <w:rPr>
                  <w:rFonts w:ascii="Times New Roman" w:cs="Times New Roman" w:eastAsia="Times New Roman" w:hAnsi="Times New Roman"/>
                  <w:sz w:val="18"/>
                  <w:szCs w:val="18"/>
                  <w:color w:val="auto"/>
                </w:rPr>
                <w:t>Amendment to Share Purchase Agreement, by</w:t>
              </w:r>
            </w:hyperlink>
          </w:p>
        </w:tc>
        <w:tc>
          <w:tcPr>
            <w:tcW w:w="15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10-Q</w:t>
            </w:r>
          </w:p>
        </w:tc>
        <w:tc>
          <w:tcPr>
            <w:tcW w:w="2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001-36740</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11/10/2025</w:t>
            </w: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396">
              <w:r>
                <w:rPr>
                  <w:rFonts w:ascii="Times New Roman" w:cs="Times New Roman" w:eastAsia="Times New Roman" w:hAnsi="Times New Roman"/>
                  <w:sz w:val="18"/>
                  <w:szCs w:val="18"/>
                  <w:color w:val="auto"/>
                </w:rPr>
                <w:t>and among AstraZeneca Treasury Limited,</w:t>
              </w:r>
            </w:hyperlink>
          </w:p>
        </w:tc>
        <w:tc>
          <w:tcPr>
            <w:tcW w:w="220" w:type="dxa"/>
            <w:vAlign w:val="bottom"/>
            <w:gridSpan w:val="4"/>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396">
              <w:r>
                <w:rPr>
                  <w:rFonts w:ascii="Times New Roman" w:cs="Times New Roman" w:eastAsia="Times New Roman" w:hAnsi="Times New Roman"/>
                  <w:sz w:val="18"/>
                  <w:szCs w:val="18"/>
                  <w:color w:val="auto"/>
                </w:rPr>
                <w:t>FibroGen China Anemia Holdings, Ltd., and</w:t>
              </w:r>
            </w:hyperlink>
          </w:p>
        </w:tc>
        <w:tc>
          <w:tcPr>
            <w:tcW w:w="10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396">
              <w:r>
                <w:rPr>
                  <w:rFonts w:ascii="Times New Roman" w:cs="Times New Roman" w:eastAsia="Times New Roman" w:hAnsi="Times New Roman"/>
                  <w:sz w:val="18"/>
                  <w:szCs w:val="18"/>
                  <w:color w:val="auto"/>
                  <w:w w:val="99"/>
                </w:rPr>
                <w:t>FibroGen, Inc., dated as of August 29, 2025.</w:t>
              </w:r>
            </w:hyperlink>
          </w:p>
        </w:tc>
        <w:tc>
          <w:tcPr>
            <w:tcW w:w="14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20"/>
          </w:cols>
          <w:pgMar w:left="320" w:top="972" w:right="55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3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Insider Trading and Trading Window Policy.</w:t>
            </w:r>
          </w:p>
        </w:tc>
      </w:tr>
      <w:tr>
        <w:trPr>
          <w:trHeight w:val="84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3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Subsidiaries of Kyntra Bio, Inc.</w:t>
            </w:r>
          </w:p>
        </w:tc>
        <w:tc>
          <w:tcPr>
            <w:tcW w:w="900" w:type="dxa"/>
            <w:vAlign w:val="bottom"/>
            <w:tcBorders>
              <w:top w:val="single" w:sz="8" w:color="0000EE"/>
            </w:tcBorders>
            <w:gridSpan w:val="6"/>
          </w:tcPr>
          <w:p>
            <w:pPr>
              <w:spacing w:after="0"/>
              <w:rPr>
                <w:sz w:val="24"/>
                <w:szCs w:val="24"/>
                <w:color w:val="auto"/>
              </w:rPr>
            </w:pPr>
          </w:p>
        </w:tc>
        <w:tc>
          <w:tcPr>
            <w:tcW w:w="160" w:type="dxa"/>
            <w:vAlign w:val="bottom"/>
            <w:gridSpan w:val="2"/>
          </w:tcPr>
          <w:p>
            <w:pPr>
              <w:spacing w:after="0"/>
              <w:rPr>
                <w:sz w:val="24"/>
                <w:szCs w:val="24"/>
                <w:color w:val="auto"/>
              </w:rPr>
            </w:pPr>
          </w:p>
        </w:tc>
      </w:tr>
      <w:tr>
        <w:trPr>
          <w:trHeight w:val="6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Consent of PricewaterhouseCoopers LLP.</w:t>
            </w:r>
          </w:p>
        </w:tc>
        <w:tc>
          <w:tcPr>
            <w:tcW w:w="320" w:type="dxa"/>
            <w:vAlign w:val="bottom"/>
            <w:gridSpan w:val="6"/>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Power of Attorney (included in signature</w:t>
            </w:r>
          </w:p>
        </w:tc>
        <w:tc>
          <w:tcPr>
            <w:tcW w:w="360" w:type="dxa"/>
            <w:vAlign w:val="bottom"/>
            <w:gridSpan w:val="7"/>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pages).</w:t>
            </w:r>
          </w:p>
        </w:tc>
        <w:tc>
          <w:tcPr>
            <w:tcW w:w="2840" w:type="dxa"/>
            <w:vAlign w:val="bottom"/>
            <w:gridSpan w:val="9"/>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Certification of Chief Executive Officer, as</w:t>
            </w:r>
          </w:p>
        </w:tc>
        <w:tc>
          <w:tcPr>
            <w:tcW w:w="200" w:type="dxa"/>
            <w:vAlign w:val="bottom"/>
            <w:gridSpan w:val="4"/>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required by Rule 13a-14(a) or Rule 15d-14(a).</w:t>
            </w:r>
          </w:p>
        </w:tc>
        <w:tc>
          <w:tcPr>
            <w:tcW w:w="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1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Certification of Chief Financial Officer, as</w:t>
            </w:r>
          </w:p>
        </w:tc>
        <w:tc>
          <w:tcPr>
            <w:tcW w:w="240" w:type="dxa"/>
            <w:vAlign w:val="bottom"/>
            <w:gridSpan w:val="5"/>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required by Rule 13a-14(a) or Rule 15d-14(a).</w:t>
            </w:r>
          </w:p>
        </w:tc>
        <w:tc>
          <w:tcPr>
            <w:tcW w:w="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18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and Principal Financial Officer, as required by</w:t>
            </w:r>
          </w:p>
        </w:tc>
      </w:tr>
    </w:tbl>
    <w:p>
      <w:pPr>
        <w:spacing w:after="0" w:line="9"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color w:val="auto"/>
        </w:rPr>
        <w:t>Rule 13a-14(b) or Rule 15d-14(b) and Section 1350 of Chapter 63 of Title 18 of the United States Code (18 U.S.C. §1350)(1).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-313055</wp:posOffset>
            </wp:positionV>
            <wp:extent cx="21266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212661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-175895</wp:posOffset>
            </wp:positionV>
            <wp:extent cx="20561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205613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-38735</wp:posOffset>
            </wp:positionV>
            <wp:extent cx="157416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8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048" w:lineRule="exact"/>
        <w:rPr>
          <w:sz w:val="20"/>
          <w:szCs w:val="20"/>
          <w:color w:val="auto"/>
        </w:rPr>
      </w:pPr>
    </w:p>
    <w:p>
      <w:pPr>
        <w:sectPr>
          <w:pgSz w:w="11900" w:h="16838" w:orient="portrait"/>
          <w:cols w:equalWidth="0" w:num="2">
            <w:col w:w="4660" w:space="720"/>
            <w:col w:w="5640"/>
          </w:cols>
          <w:pgMar w:left="320" w:top="972" w:right="5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Policy for Recoupment of Incentive</w:t>
            </w:r>
          </w:p>
        </w:tc>
        <w:tc>
          <w:tcPr>
            <w:tcW w:w="720" w:type="dxa"/>
            <w:vAlign w:val="bottom"/>
          </w:tcPr>
          <w:p>
            <w:pPr>
              <w:spacing w:after="0"/>
              <w:rPr>
                <w:sz w:val="18"/>
                <w:szCs w:val="18"/>
                <w:color w:val="auto"/>
              </w:rPr>
            </w:pPr>
          </w:p>
        </w:tc>
      </w:tr>
      <w:tr>
        <w:trPr>
          <w:trHeight w:val="196"/>
        </w:trPr>
        <w:tc>
          <w:tcPr>
            <w:tcW w:w="1300" w:type="dxa"/>
            <w:vAlign w:val="bottom"/>
          </w:tcPr>
          <w:p>
            <w:pPr>
              <w:spacing w:after="0"/>
              <w:rPr>
                <w:sz w:val="17"/>
                <w:szCs w:val="17"/>
                <w:color w:val="auto"/>
              </w:rPr>
            </w:pPr>
          </w:p>
        </w:tc>
        <w:tc>
          <w:tcPr>
            <w:tcW w:w="3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Compensation.</w:t>
            </w:r>
          </w:p>
        </w:tc>
      </w:tr>
      <w:tr>
        <w:trPr>
          <w:trHeight w:val="20"/>
        </w:trPr>
        <w:tc>
          <w:tcPr>
            <w:tcW w:w="13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r>
      <w:tr>
        <w:trPr>
          <w:trHeight w:val="4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the instance</w:t>
            </w:r>
          </w:p>
        </w:tc>
      </w:tr>
      <w:tr>
        <w:trPr>
          <w:trHeight w:val="216"/>
        </w:trPr>
        <w:tc>
          <w:tcPr>
            <w:tcW w:w="130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r>
      <w:tr>
        <w:trPr>
          <w:trHeight w:val="216"/>
        </w:trPr>
        <w:tc>
          <w:tcPr>
            <w:tcW w:w="130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Data File because its XBRL tags are</w:t>
            </w:r>
          </w:p>
        </w:tc>
      </w:tr>
      <w:tr>
        <w:trPr>
          <w:trHeight w:val="234"/>
        </w:trPr>
        <w:tc>
          <w:tcPr>
            <w:tcW w:w="1300" w:type="dxa"/>
            <w:vAlign w:val="bottom"/>
          </w:tcPr>
          <w:p>
            <w:pPr>
              <w:spacing w:after="0"/>
              <w:rPr>
                <w:sz w:val="20"/>
                <w:szCs w:val="20"/>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bl>
    <w:p>
      <w:pPr>
        <w:spacing w:after="0" w:line="20" w:lineRule="exact"/>
        <w:rPr>
          <w:sz w:val="20"/>
          <w:szCs w:val="20"/>
          <w:color w:val="auto"/>
        </w:rPr>
      </w:pPr>
      <w:r>
        <w:rPr>
          <w:sz w:val="20"/>
          <w:szCs w:val="20"/>
          <w:color w:val="auto"/>
        </w:rPr>
        <w:br w:type="column"/>
      </w:r>
    </w:p>
    <w:p>
      <w:pPr>
        <w:spacing w:after="0"/>
        <w:tabs>
          <w:tab w:leader="none" w:pos="1620" w:val="left"/>
          <w:tab w:leader="none" w:pos="3520" w:val="left"/>
          <w:tab w:leader="none" w:pos="5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1620" w:val="left"/>
          <w:tab w:leader="none" w:pos="3520" w:val="left"/>
          <w:tab w:leader="none" w:pos="5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875" w:lineRule="exact"/>
        <w:rPr>
          <w:sz w:val="20"/>
          <w:szCs w:val="20"/>
          <w:color w:val="auto"/>
        </w:rPr>
      </w:pPr>
    </w:p>
    <w:p>
      <w:pPr>
        <w:sectPr>
          <w:pgSz w:w="11900" w:h="16838" w:orient="portrait"/>
          <w:cols w:equalWidth="0" w:num="2">
            <w:col w:w="4660" w:space="720"/>
            <w:col w:w="5640"/>
          </w:cols>
          <w:pgMar w:left="320" w:top="972" w:right="559" w:bottom="1440" w:gutter="0" w:footer="0" w:header="0"/>
          <w:type w:val="continuous"/>
        </w:sectPr>
      </w:pPr>
    </w:p>
    <w:p>
      <w:pPr>
        <w:spacing w:after="0" w:line="1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72" w:right="55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Schema Linkbase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6">
            <w:col w:w="760" w:space="540"/>
            <w:col w:w="3360" w:space="720"/>
            <w:col w:w="920" w:space="720"/>
            <w:col w:w="1180" w:space="720"/>
            <w:col w:w="880" w:space="720"/>
            <w:col w:w="660"/>
          </w:cols>
          <w:pgMar w:left="320" w:top="985" w:right="399" w:bottom="1440" w:gutter="0" w:footer="0" w:header="0"/>
        </w:sectPr>
      </w:pPr>
    </w:p>
    <w:p>
      <w:pPr>
        <w:ind w:left="1300"/>
        <w:spacing w:after="0"/>
        <w:rPr>
          <w:sz w:val="20"/>
          <w:szCs w:val="20"/>
          <w:color w:val="auto"/>
        </w:rPr>
      </w:pPr>
      <w:r>
        <w:rPr>
          <w:rFonts w:ascii="Times New Roman" w:cs="Times New Roman" w:eastAsia="Times New Roman" w:hAnsi="Times New Roman"/>
          <w:sz w:val="18"/>
          <w:szCs w:val="18"/>
          <w:color w:val="auto"/>
        </w:rPr>
        <w:t>Document</w:t>
      </w:r>
    </w:p>
    <w:p>
      <w:pPr>
        <w:sectPr>
          <w:pgSz w:w="11900" w:h="16838" w:orient="portrait"/>
          <w:cols w:equalWidth="0" w:num="1">
            <w:col w:w="11180"/>
          </w:cols>
          <w:pgMar w:left="320" w:top="985" w:right="39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6">
            <w:col w:w="580" w:space="720"/>
            <w:col w:w="3360" w:space="720"/>
            <w:col w:w="920" w:space="720"/>
            <w:col w:w="1180" w:space="720"/>
            <w:col w:w="880" w:space="720"/>
            <w:col w:w="660"/>
          </w:cols>
          <w:pgMar w:left="320" w:top="985" w:right="39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within the inline XBRL document)</w:t>
      </w:r>
    </w:p>
    <w:p>
      <w:pPr>
        <w:sectPr>
          <w:pgSz w:w="11900" w:h="16838" w:orient="portrait"/>
          <w:cols w:equalWidth="0" w:num="1">
            <w:col w:w="11180"/>
          </w:cols>
          <w:pgMar w:left="320" w:top="985" w:right="39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1912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right="40" w:firstLine="8"/>
        <w:spacing w:after="0" w:line="250" w:lineRule="auto"/>
        <w:tabs>
          <w:tab w:leader="none" w:pos="1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jc w:val="both"/>
        <w:ind w:left="520" w:hanging="512"/>
        <w:spacing w:after="0" w:line="277" w:lineRule="auto"/>
        <w:tabs>
          <w:tab w:leader="none" w:pos="5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Kyntra Bio, Inc. under the Securities Act of 1933, as amended, or the Securities Exchange Act of 1934, as amended (whether made before or after the date of the Form 10-K), irrespective of any general incorporation language contained in such filing.</w:t>
      </w:r>
    </w:p>
    <w:p>
      <w:pPr>
        <w:spacing w:after="0" w:line="165" w:lineRule="exact"/>
        <w:rPr>
          <w:sz w:val="20"/>
          <w:szCs w:val="20"/>
          <w:color w:val="auto"/>
        </w:rPr>
      </w:pPr>
    </w:p>
    <w:p>
      <w:pPr>
        <w:ind w:right="400" w:firstLine="8"/>
        <w:spacing w:after="0" w:line="286" w:lineRule="auto"/>
        <w:tabs>
          <w:tab w:leader="none" w:pos="24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r>
        <w:rPr>
          <w:rFonts w:ascii="Times New Roman" w:cs="Times New Roman" w:eastAsia="Times New Roman" w:hAnsi="Times New Roman"/>
          <w:sz w:val="18"/>
          <w:szCs w:val="18"/>
          <w:color w:val="auto"/>
        </w:rPr>
        <w:t>—See (a) 2 above. All other financial statement schedules are omitted because they are not applicable because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requested information is included in the consolidated financial statements or notes thereto.</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 in the City of San Francisco, State of California.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KYNTRA BIO,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27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Thane Wettig</w:t>
            </w:r>
          </w:p>
        </w:tc>
      </w:tr>
      <w:tr>
        <w:trPr>
          <w:trHeight w:val="191"/>
        </w:trPr>
        <w:tc>
          <w:tcPr>
            <w:tcW w:w="3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Thane Wettig</w:t>
            </w:r>
          </w:p>
        </w:tc>
      </w:tr>
      <w:tr>
        <w:trPr>
          <w:trHeight w:val="214"/>
        </w:trPr>
        <w:tc>
          <w:tcPr>
            <w:tcW w:w="3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27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DeLucia</w:t>
            </w:r>
          </w:p>
        </w:tc>
      </w:tr>
      <w:tr>
        <w:trPr>
          <w:trHeight w:val="191"/>
        </w:trPr>
        <w:tc>
          <w:tcPr>
            <w:tcW w:w="3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DeLucia</w:t>
            </w:r>
          </w:p>
        </w:tc>
      </w:tr>
      <w:tr>
        <w:trPr>
          <w:trHeight w:val="214"/>
        </w:trPr>
        <w:tc>
          <w:tcPr>
            <w:tcW w:w="3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6"/>
        </w:trPr>
        <w:tc>
          <w:tcPr>
            <w:tcW w:w="3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540"/>
        </w:trPr>
        <w:tc>
          <w:tcPr>
            <w:tcW w:w="3440" w:type="dxa"/>
            <w:vAlign w:val="bottom"/>
          </w:tcPr>
          <w:p>
            <w:pPr>
              <w:spacing w:after="0"/>
              <w:rPr>
                <w:sz w:val="24"/>
                <w:szCs w:val="24"/>
                <w:color w:val="auto"/>
              </w:rPr>
            </w:pPr>
          </w:p>
        </w:tc>
        <w:tc>
          <w:tcPr>
            <w:tcW w:w="2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w:t>
            </w:r>
          </w:p>
        </w:tc>
        <w:tc>
          <w:tcPr>
            <w:tcW w:w="502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3" w:name="page124"/>
    <w:bookmarkEnd w:id="12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Thane Wettig and David DeLucia, jointly and severally, his or her attorneys-in-fact, each with the power of substitution, for him or her in any and all capacities, to sign any amendments to this Annual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320" w:top="981" w:right="539" w:bottom="1440" w:gutter="0" w:footer="0" w:header="0"/>
        </w:sectPr>
      </w:pPr>
    </w:p>
    <w:p>
      <w:pPr>
        <w:spacing w:after="0" w:line="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Thane Wettig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Thane Wettig</w:t>
      </w: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David DeLucia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David DeLucia</w:t>
      </w: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James A. Schoeneck</w:t>
      </w:r>
    </w:p>
    <w:p>
      <w:pPr>
        <w:spacing w:after="0" w:line="200" w:lineRule="exact"/>
        <w:rPr>
          <w:sz w:val="20"/>
          <w:szCs w:val="20"/>
          <w:color w:val="auto"/>
        </w:rPr>
      </w:pPr>
    </w:p>
    <w:p>
      <w:pPr>
        <w:spacing w:after="0" w:line="2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 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Jeffrey L. Edwards</w:t>
      </w: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Maykin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Maykin Ho, Ph.D.</w:t>
      </w: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Michael Kauffman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Michael Kauffman, M.D., Ph.D.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Senior Vice President and Chief Financial Officer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and Accounting Officer)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18" w:lineRule="exact"/>
        <w:rPr>
          <w:sz w:val="20"/>
          <w:szCs w:val="20"/>
          <w:color w:val="auto"/>
        </w:rPr>
      </w:pPr>
    </w:p>
    <w:p>
      <w:pPr>
        <w:sectPr>
          <w:pgSz w:w="11900" w:h="16838" w:orient="portrait"/>
          <w:cols w:equalWidth="0" w:num="3">
            <w:col w:w="3900" w:space="720"/>
            <w:col w:w="4380" w:space="220"/>
            <w:col w:w="1820"/>
          </w:cols>
          <w:pgMar w:left="320" w:top="98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10.1</w:t>
      </w: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4"/>
          <w:szCs w:val="14"/>
          <w:b w:val="1"/>
          <w:bCs w:val="1"/>
          <w:color w:val="auto"/>
        </w:rPr>
        <w:t>yntra</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2024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22, 2024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22"/>
          <w:szCs w:val="22"/>
          <w:b w:val="1"/>
          <w:bCs w:val="1"/>
          <w:color w:val="auto"/>
        </w:rPr>
        <w:t xml:space="preserve"> 5, 2024</w:t>
      </w: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pproved by</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on</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19, 2025</w:t>
      </w:r>
    </w:p>
    <w:p>
      <w:pPr>
        <w:spacing w:after="0" w:line="205"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 to and Continuation of Prior Plan.</w:t>
      </w:r>
    </w:p>
    <w:p>
      <w:pPr>
        <w:spacing w:after="0" w:line="204" w:lineRule="exact"/>
        <w:rPr>
          <w:sz w:val="20"/>
          <w:szCs w:val="20"/>
          <w:color w:val="auto"/>
        </w:rPr>
      </w:pPr>
    </w:p>
    <w:p>
      <w:pPr>
        <w:jc w:val="both"/>
        <w:ind w:firstLine="8"/>
        <w:spacing w:after="0" w:line="241" w:lineRule="auto"/>
        <w:tabs>
          <w:tab w:leader="none" w:pos="509"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is the successor to and continuation of the Kyntra Bio, Inc. 2014 Equity Incentive Plan (the “</w:t>
      </w:r>
      <w:r>
        <w:rPr>
          <w:rFonts w:ascii="Times New Roman" w:cs="Times New Roman" w:eastAsia="Times New Roman" w:hAnsi="Times New Roman"/>
          <w:sz w:val="22"/>
          <w:szCs w:val="22"/>
          <w:b w:val="1"/>
          <w:bCs w:val="1"/>
          <w:i w:val="1"/>
          <w:iCs w:val="1"/>
          <w:color w:val="auto"/>
        </w:rPr>
        <w:t>Prior Plan</w:t>
      </w:r>
      <w:r>
        <w:rPr>
          <w:rFonts w:ascii="Times New Roman" w:cs="Times New Roman" w:eastAsia="Times New Roman" w:hAnsi="Times New Roman"/>
          <w:sz w:val="22"/>
          <w:szCs w:val="22"/>
          <w:color w:val="auto"/>
        </w:rPr>
        <w:t>”). From and after 12:01 a.m. Pacific time on the Effective Date, no additional stock awards will be granted under the Prior Plan. All stock awards granted under the Prior Plan remain subject to the terms of the Prior Plan. All Awards granted on or after 12:01 a.m. Pacific Time on the Effective Date will be granted under the Plan.</w:t>
      </w:r>
    </w:p>
    <w:p>
      <w:pPr>
        <w:spacing w:after="0" w:line="177"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509"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shares that would otherwise remain available for future grants under the Prior Plan as of 12:01 a.m. Pacific Time on the Effective Date ceased to be available under the Prior Plan at such time. Instead, that number of shares of Common Stock equal to the number of shares of Common Stock of the Company then available for future grants under the Prior Plan (the “</w:t>
      </w:r>
      <w:r>
        <w:rPr>
          <w:rFonts w:ascii="Times New Roman" w:cs="Times New Roman" w:eastAsia="Times New Roman" w:hAnsi="Times New Roman"/>
          <w:sz w:val="22"/>
          <w:szCs w:val="22"/>
          <w:b w:val="1"/>
          <w:bCs w:val="1"/>
          <w:i w:val="1"/>
          <w:i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Plan’s Available Reserve</w:t>
      </w:r>
      <w:r>
        <w:rPr>
          <w:rFonts w:ascii="Times New Roman" w:cs="Times New Roman" w:eastAsia="Times New Roman" w:hAnsi="Times New Roman"/>
          <w:sz w:val="22"/>
          <w:szCs w:val="22"/>
          <w:color w:val="auto"/>
        </w:rPr>
        <w:t>”) was added to the Share Reserve (as further described in Section 3(a) below) and became immediately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available for grants and issuance pursuant to Stock Awards under the Plan, up to the maximum number set forth in Section 3(a) below.</w:t>
      </w:r>
    </w:p>
    <w:p>
      <w:pPr>
        <w:spacing w:after="0" w:line="181"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From and after 12:01 a.m. Pacific time on the Effective Date, a number of shares of Common Stock equal to the total number of shares of Common Stock subject, at such time, to outstanding stock awards granted under the Prior Plan that: (A) expire or terminate for any reason prior to exercise or settlement; (B) are forfeited or reacquired because of the failure to meet a contingency or condition required to vest such shares or are repurchased at the original issuance price; or (C) are otherwise reacquired or withheld (or not issued) to satisfy a tax withholding obligation in connection with an award or as consideration for the exercise or purchase price of an award (the “</w:t>
      </w:r>
      <w:r>
        <w:rPr>
          <w:rFonts w:ascii="Times New Roman" w:cs="Times New Roman" w:eastAsia="Times New Roman" w:hAnsi="Times New Roman"/>
          <w:sz w:val="22"/>
          <w:szCs w:val="22"/>
          <w:b w:val="1"/>
          <w:bCs w:val="1"/>
          <w:i w:val="1"/>
          <w:iCs w:val="1"/>
          <w:color w:val="auto"/>
        </w:rPr>
        <w:t>Returning Shares</w:t>
      </w:r>
      <w:r>
        <w:rPr>
          <w:rFonts w:ascii="Times New Roman" w:cs="Times New Roman" w:eastAsia="Times New Roman" w:hAnsi="Times New Roman"/>
          <w:sz w:val="22"/>
          <w:szCs w:val="22"/>
          <w:color w:val="auto"/>
        </w:rPr>
        <w:t>”) will immediately be added to the Share Reserve (as further described in Section 3(a) below) as and when such shares become Returning Shares (up to the maximum number set forth in Section 3(a)), and become available for issuance pursuant to Stock Awards granted hereunder.</w:t>
      </w:r>
    </w:p>
    <w:p>
      <w:pPr>
        <w:spacing w:after="0" w:line="174"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Eligible Award Recipients. </w:t>
      </w:r>
      <w:r>
        <w:rPr>
          <w:rFonts w:ascii="Times New Roman" w:cs="Times New Roman" w:eastAsia="Times New Roman" w:hAnsi="Times New Roman"/>
          <w:sz w:val="22"/>
          <w:szCs w:val="22"/>
          <w:color w:val="auto"/>
        </w:rPr>
        <w:t>Employees, Directors and Consultants are eligible to receive Awards.</w:t>
      </w:r>
    </w:p>
    <w:p>
      <w:pPr>
        <w:spacing w:after="0" w:line="206"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Available Awards. </w:t>
      </w:r>
      <w:r>
        <w:rPr>
          <w:rFonts w:ascii="Times New Roman" w:cs="Times New Roman" w:eastAsia="Times New Roman" w:hAnsi="Times New Roman"/>
          <w:sz w:val="22"/>
          <w:szCs w:val="22"/>
          <w:color w:val="auto"/>
        </w:rPr>
        <w:t>The Plan provides for the grant of the following Awards: (i) Incentive Stock Options, (ii) Nonstatutory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Options, (iii) Stock Appreciation Rights (iv) Restricted Stock Awards, (v) Restricted Stock Unit Awards, (vi) Performance Stock Awards.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5" w:name="page126"/>
    <w:bookmarkEnd w:id="125"/>
    <w:p>
      <w:pPr>
        <w:jc w:val="both"/>
        <w:ind w:firstLine="8"/>
        <w:spacing w:after="0" w:line="246" w:lineRule="auto"/>
        <w:tabs>
          <w:tab w:leader="none" w:pos="509"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Purpose. </w:t>
      </w:r>
      <w:r>
        <w:rPr>
          <w:rFonts w:ascii="Times New Roman" w:cs="Times New Roman" w:eastAsia="Times New Roman" w:hAnsi="Times New Roman"/>
          <w:sz w:val="22"/>
          <w:szCs w:val="22"/>
          <w:color w:val="auto"/>
        </w:rPr>
        <w:t>The Plan, through the granting of Awards, is intended to help the Company secure and retain the services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67"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firstLine="8"/>
        <w:spacing w:after="0" w:line="262" w:lineRule="auto"/>
        <w:tabs>
          <w:tab w:leader="none" w:pos="509"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Administration by Board. </w:t>
      </w:r>
      <w:r>
        <w:rPr>
          <w:rFonts w:ascii="Times New Roman" w:cs="Times New Roman" w:eastAsia="Times New Roman" w:hAnsi="Times New Roman"/>
          <w:sz w:val="22"/>
          <w:szCs w:val="22"/>
          <w:color w:val="auto"/>
        </w:rPr>
        <w:t>The Board will administer the Plan. The Board may delegate administration of the Plan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or Committees, as provided in Section 2(c).</w:t>
      </w:r>
    </w:p>
    <w:p>
      <w:pPr>
        <w:spacing w:after="0" w:line="149"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Powers of Board. </w:t>
      </w:r>
      <w:r>
        <w:rPr>
          <w:rFonts w:ascii="Times New Roman" w:cs="Times New Roman" w:eastAsia="Times New Roman" w:hAnsi="Times New Roman"/>
          <w:sz w:val="22"/>
          <w:szCs w:val="22"/>
          <w:color w:val="auto"/>
        </w:rPr>
        <w:t>The Board will have the power, subject to, and within the limitations of, the express provisions of the</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jc w:val="both"/>
        <w:ind w:firstLine="8"/>
        <w:spacing w:after="0" w:line="239" w:lineRule="auto"/>
        <w:tabs>
          <w:tab w:leader="none" w:pos="509"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80" w:lineRule="exact"/>
        <w:rPr>
          <w:rFonts w:ascii="Times New Roman" w:cs="Times New Roman" w:eastAsia="Times New Roman" w:hAnsi="Times New Roman"/>
          <w:sz w:val="22"/>
          <w:szCs w:val="22"/>
          <w:b w:val="1"/>
          <w:bCs w:val="1"/>
          <w:color w:val="auto"/>
        </w:rPr>
      </w:pPr>
    </w:p>
    <w:p>
      <w:pPr>
        <w:jc w:val="both"/>
        <w:ind w:firstLine="8"/>
        <w:spacing w:after="0" w:line="239" w:lineRule="auto"/>
        <w:tabs>
          <w:tab w:leader="none" w:pos="509"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0"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the Plan and Awards granted under it.</w:t>
      </w:r>
    </w:p>
    <w:p>
      <w:pPr>
        <w:spacing w:after="0" w:line="206" w:lineRule="exact"/>
        <w:rPr>
          <w:rFonts w:ascii="Times New Roman" w:cs="Times New Roman" w:eastAsia="Times New Roman" w:hAnsi="Times New Roman"/>
          <w:sz w:val="22"/>
          <w:szCs w:val="22"/>
          <w:b w:val="1"/>
          <w:bCs w:val="1"/>
          <w:color w:val="auto"/>
        </w:rPr>
      </w:pPr>
    </w:p>
    <w:p>
      <w:pPr>
        <w:ind w:firstLine="8"/>
        <w:spacing w:after="0" w:line="258" w:lineRule="auto"/>
        <w:tabs>
          <w:tab w:leader="none" w:pos="509"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accelerate, in whole or in part, the time at which an Award may be exercised or vest (or at which cash or shares of Common Stock may be issued).</w:t>
      </w:r>
    </w:p>
    <w:p>
      <w:pPr>
        <w:spacing w:after="0" w:line="158" w:lineRule="exact"/>
        <w:rPr>
          <w:rFonts w:ascii="Times New Roman" w:cs="Times New Roman" w:eastAsia="Times New Roman" w:hAnsi="Times New Roman"/>
          <w:sz w:val="22"/>
          <w:szCs w:val="22"/>
          <w:b w:val="1"/>
          <w:bCs w:val="1"/>
          <w:color w:val="auto"/>
        </w:rPr>
      </w:pPr>
    </w:p>
    <w:p>
      <w:pPr>
        <w:jc w:val="both"/>
        <w:ind w:firstLine="8"/>
        <w:spacing w:after="0" w:line="244" w:lineRule="auto"/>
        <w:tabs>
          <w:tab w:leader="none" w:pos="509"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the Plan at any time. Except as otherwise provided in the Plan or an Award Agreement, suspension or termination of the Plan will not materially impair a Participant’s rights under his or her then-outstanding Award without his or her written consent, except as provided in subsection (viii) below.</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amend the Plan in any respect the Board deems necessary or advisable, including, without limitation, by adopting amendments relating to Incentive Stock Options and certain nonqualified deferred compensation under Section 409A of the Code and/or to bring the Plan or Awards granted under the Plan into compliance therewith,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6" w:name="page127"/>
    <w:bookmarkEnd w:id="126"/>
    <w:p>
      <w:pPr>
        <w:ind w:firstLine="509"/>
        <w:spacing w:after="0" w:line="258" w:lineRule="auto"/>
        <w:rPr>
          <w:sz w:val="20"/>
          <w:szCs w:val="20"/>
          <w:color w:val="auto"/>
        </w:rPr>
      </w:pPr>
      <w:r>
        <w:rPr>
          <w:rFonts w:ascii="Times New Roman" w:cs="Times New Roman" w:eastAsia="Times New Roman" w:hAnsi="Times New Roman"/>
          <w:sz w:val="22"/>
          <w:szCs w:val="22"/>
          <w:color w:val="auto"/>
        </w:rPr>
        <w:t>Plan or an Award Agreement, no amendment of the Plan will materially impair that Participant’s rights under an outstanding Award without his or her written consent.</w:t>
      </w:r>
    </w:p>
    <w:p>
      <w:pPr>
        <w:spacing w:after="0" w:line="158" w:lineRule="exact"/>
        <w:rPr>
          <w:sz w:val="20"/>
          <w:szCs w:val="20"/>
          <w:color w:val="auto"/>
        </w:rPr>
      </w:pPr>
    </w:p>
    <w:p>
      <w:pPr>
        <w:ind w:firstLine="8"/>
        <w:spacing w:after="0" w:line="258" w:lineRule="auto"/>
        <w:tabs>
          <w:tab w:leader="none" w:pos="509"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58"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approve forms of Award Agreements for use under the Plan and to amend the terms of any one or more outstanding Awards. Except with respect to amendments that disqualify or impair the status of an Incentive Stock Option or as otherwise provided in the Plan or an Award Agreement, no amendment of an outstanding Award will materially impair that Participant’s rights under his or her outstanding Award without his or her written consent. To be clear, unless prohibited by Applicable Law, the Board may amend the terms of an Award without the affected Participant’s consent if necessary (A) to maintain the qualified status of the Award as an Incentive Stock Option, (B) to clarify the manner of exemption from, or to bring the Award into compliance with, Section 409A of the Code, or (C) to comply with other Applicable Laws or listing requirements.</w:t>
      </w:r>
    </w:p>
    <w:p>
      <w:pPr>
        <w:spacing w:after="0" w:line="183" w:lineRule="exact"/>
        <w:rPr>
          <w:rFonts w:ascii="Times New Roman" w:cs="Times New Roman" w:eastAsia="Times New Roman" w:hAnsi="Times New Roman"/>
          <w:sz w:val="22"/>
          <w:szCs w:val="22"/>
          <w:b w:val="1"/>
          <w:bCs w:val="1"/>
          <w:color w:val="auto"/>
        </w:rPr>
      </w:pPr>
    </w:p>
    <w:p>
      <w:pPr>
        <w:ind w:right="20" w:firstLine="8"/>
        <w:spacing w:after="0" w:line="258" w:lineRule="auto"/>
        <w:tabs>
          <w:tab w:leader="none" w:pos="509"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58"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509"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adopt such procedures and sub-plans as are necessary or appropriate to permit or facilitate participation in the Plan by Employees, Directors or Consultants who are foreign nationals or employed outside the United States or allow Awards to qualify for special tax treatment in a foreign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Board approval will not be necessary for immaterial modifications to the Plan or any Award Agreement that are required for compliance with the laws of the relevant foreign jurisdiction.</w:t>
      </w:r>
    </w:p>
    <w:p>
      <w:pPr>
        <w:spacing w:after="0" w:line="173"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Committee.</w:t>
      </w:r>
    </w:p>
    <w:p>
      <w:pPr>
        <w:spacing w:after="0" w:line="206" w:lineRule="exact"/>
        <w:rPr>
          <w:sz w:val="20"/>
          <w:szCs w:val="20"/>
          <w:color w:val="auto"/>
        </w:rPr>
      </w:pPr>
    </w:p>
    <w:p>
      <w:pPr>
        <w:jc w:val="both"/>
        <w:ind w:firstLine="8"/>
        <w:spacing w:after="0" w:line="235" w:lineRule="auto"/>
        <w:tabs>
          <w:tab w:leader="none" w:pos="509"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The Board may delegate some or all of the administration of the Plan to a Committee or Committees.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73"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509"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Rule 16b-3 Compliance. </w:t>
      </w:r>
      <w:r>
        <w:rPr>
          <w:rFonts w:ascii="Times New Roman" w:cs="Times New Roman" w:eastAsia="Times New Roman" w:hAnsi="Times New Roman"/>
          <w:sz w:val="22"/>
          <w:szCs w:val="22"/>
          <w:color w:val="auto"/>
        </w:rPr>
        <w:t>The Committee may consist solely of two or more Non-Employee Directors,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16b-3.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both"/>
        <w:ind w:firstLine="8"/>
        <w:spacing w:after="0" w:line="234" w:lineRule="auto"/>
        <w:tabs>
          <w:tab w:leader="none" w:pos="50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Delegation to Other Person or Body. </w:t>
      </w:r>
      <w:r>
        <w:rPr>
          <w:rFonts w:ascii="Times New Roman" w:cs="Times New Roman" w:eastAsia="Times New Roman" w:hAnsi="Times New Roman"/>
          <w:sz w:val="22"/>
          <w:szCs w:val="22"/>
          <w:color w:val="auto"/>
        </w:rPr>
        <w:t>The Board or any Committee may delegate to one or more persons or bodies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do one or more of the following to the extent permitted by Applicable Law: (i) designate recipients, other than Officers, of Options and SARs (and, to the extent permitted by Applicable Law, other Stock Awards), provided that no person or body may be delegated authority to grant an Award to himself or herself; (ii) determine the number of shares of Common Stock subject to such Stock Awards; and (iii) determine the terms of such Awards.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spacing w:after="0" w:line="179"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50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Board’s Decision. </w:t>
      </w:r>
      <w:r>
        <w:rPr>
          <w:rFonts w:ascii="Times New Roman" w:cs="Times New Roman" w:eastAsia="Times New Roman" w:hAnsi="Times New Roman"/>
          <w:sz w:val="22"/>
          <w:szCs w:val="22"/>
          <w:color w:val="auto"/>
        </w:rPr>
        <w:t>All determinations, interpretations and constructions made by the Board in good faith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subject to review by any person and will be final, binding and conclusive on all persons</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Repricing of Awards. </w:t>
      </w:r>
      <w:r>
        <w:rPr>
          <w:rFonts w:ascii="Times New Roman" w:cs="Times New Roman" w:eastAsia="Times New Roman" w:hAnsi="Times New Roman"/>
          <w:sz w:val="22"/>
          <w:szCs w:val="22"/>
          <w:color w:val="auto"/>
        </w:rPr>
        <w:t>Neither the Board nor any Committee will have the authority to (i) reduce the exercise or strike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 of any outstanding Option or SAR or (ii) cancel any outstanding Option or SAR that has an exercise or strike price (per share) greater than the then-current Fair Market Value of the Shares in exchange for cash or other Share Awards under the Plan, unless the shareholders of the Company have approved such an action within twelve (12) months prior to such an event.</w:t>
      </w:r>
    </w:p>
    <w:p>
      <w:pPr>
        <w:spacing w:after="0" w:line="17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Reserve.</w:t>
      </w:r>
    </w:p>
    <w:p>
      <w:pPr>
        <w:spacing w:after="0" w:line="210" w:lineRule="exact"/>
        <w:rPr>
          <w:sz w:val="20"/>
          <w:szCs w:val="20"/>
          <w:color w:val="auto"/>
        </w:rPr>
      </w:pPr>
    </w:p>
    <w:p>
      <w:pPr>
        <w:jc w:val="both"/>
        <w:ind w:firstLine="8"/>
        <w:spacing w:after="0" w:line="238" w:lineRule="auto"/>
        <w:tabs>
          <w:tab w:leader="none" w:pos="509"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Sections 1(a)(iii), 3(b) and 9(a), the aggregate number of shares of Common Stock that may be issued pursuant to Stock Awards from and after the Effective Date (the “</w:t>
      </w:r>
      <w:r>
        <w:rPr>
          <w:rFonts w:ascii="Times New Roman" w:cs="Times New Roman" w:eastAsia="Times New Roman" w:hAnsi="Times New Roman"/>
          <w:sz w:val="22"/>
          <w:szCs w:val="22"/>
          <w:b w:val="1"/>
          <w:bCs w:val="1"/>
          <w:i w:val="1"/>
          <w:iCs w:val="1"/>
          <w:color w:val="auto"/>
        </w:rPr>
        <w:t>Share Reserve</w:t>
      </w:r>
      <w:r>
        <w:rPr>
          <w:rFonts w:ascii="Times New Roman" w:cs="Times New Roman" w:eastAsia="Times New Roman" w:hAnsi="Times New Roman"/>
          <w:sz w:val="22"/>
          <w:szCs w:val="22"/>
          <w:color w:val="auto"/>
        </w:rPr>
        <w:t>”) will not exceed 11,466,792 (2,200,000 new shares of Common Stock plus the number of shares of Common Stock available for grant under the Prior Plan as of March 1, 2024), less one share of Common Stock for each share of Common Stock granted under the Prior Plan after March 1, 2024 and prior to June 5, 2024.</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39" w:lineRule="auto"/>
        <w:tabs>
          <w:tab w:leader="none" w:pos="509"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clarity, the Share Reserve is a limitation on the number of shares of Common Stock that may be issued under the Plan. As a single share may be subject to grant more than once (e.g., if a share subject to a Stock Award is forfeited, it may be made subject to grant again as provided in Section 3(b) below), the Share Reserve is not a limit on the number of Stock Awards that can be granted.</w:t>
      </w:r>
    </w:p>
    <w:p>
      <w:pPr>
        <w:spacing w:after="0" w:line="180" w:lineRule="exact"/>
        <w:rPr>
          <w:rFonts w:ascii="Times New Roman" w:cs="Times New Roman" w:eastAsia="Times New Roman" w:hAnsi="Times New Roman"/>
          <w:sz w:val="22"/>
          <w:szCs w:val="22"/>
          <w:b w:val="1"/>
          <w:bCs w:val="1"/>
          <w:color w:val="auto"/>
        </w:rPr>
      </w:pPr>
    </w:p>
    <w:p>
      <w:pPr>
        <w:jc w:val="both"/>
        <w:ind w:firstLine="8"/>
        <w:spacing w:after="0" w:line="244" w:lineRule="auto"/>
        <w:tabs>
          <w:tab w:leader="none" w:pos="509"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8" w:name="page129"/>
    <w:bookmarkEnd w:id="128"/>
    <w:p>
      <w:pPr>
        <w:jc w:val="both"/>
        <w:ind w:firstLine="8"/>
        <w:spacing w:after="0" w:line="235" w:lineRule="auto"/>
        <w:tabs>
          <w:tab w:leader="none" w:pos="509"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Reversion of Shares to the Share Reserve. </w:t>
      </w:r>
      <w:r>
        <w:rPr>
          <w:rFonts w:ascii="Times New Roman" w:cs="Times New Roman" w:eastAsia="Times New Roman" w:hAnsi="Times New Roman"/>
          <w:sz w:val="22"/>
          <w:szCs w:val="22"/>
          <w:color w:val="auto"/>
        </w:rPr>
        <w:t>If a Stock Award or any portion of a Stock Award (i) expires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terminates without all of the shares covered by such Stock Award having been issued or (ii) is settled in cash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Incentive Stock Option Limit. </w:t>
      </w:r>
      <w:r>
        <w:rPr>
          <w:rFonts w:ascii="Times New Roman" w:cs="Times New Roman" w:eastAsia="Times New Roman" w:hAnsi="Times New Roman"/>
          <w:sz w:val="22"/>
          <w:szCs w:val="22"/>
          <w:color w:val="auto"/>
        </w:rPr>
        <w:t>Subject to the provisions of Section 9(a) relating to Capitalization Adjustments,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maximum number of shares of Common Stock that may be issued pursuant to the exercise of Incentive Stock Options will be 11,466,792 shares of Common Stock.</w:t>
      </w:r>
    </w:p>
    <w:p>
      <w:pPr>
        <w:spacing w:after="0" w:line="167"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509"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Source of Shares. </w:t>
      </w:r>
      <w:r>
        <w:rPr>
          <w:rFonts w:ascii="Times New Roman" w:cs="Times New Roman" w:eastAsia="Times New Roman" w:hAnsi="Times New Roman"/>
          <w:sz w:val="22"/>
          <w:szCs w:val="22"/>
          <w:color w:val="auto"/>
        </w:rPr>
        <w:t>The stock issuable under the Plan will be shares of authorized but unissued or reacquired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including shares repurchased by the Company on the open market or otherwise.</w:t>
      </w:r>
    </w:p>
    <w:p>
      <w:pPr>
        <w:spacing w:after="0" w:line="150"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8"/>
        <w:spacing w:after="0" w:line="234"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 for Specific Stock Awards</w:t>
      </w:r>
      <w:r>
        <w:rPr>
          <w:rFonts w:ascii="Times New Roman" w:cs="Times New Roman" w:eastAsia="Times New Roman" w:hAnsi="Times New Roman"/>
          <w:sz w:val="22"/>
          <w:szCs w:val="22"/>
          <w:color w:val="auto"/>
        </w:rPr>
        <w:t>. Incentive Stock Options may be granted only to employees of the Company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“parent corporation” or “subsidiary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Ten Percent Stockholders. </w:t>
      </w:r>
      <w:r>
        <w:rPr>
          <w:rFonts w:ascii="Times New Roman" w:cs="Times New Roman" w:eastAsia="Times New Roman" w:hAnsi="Times New Roman"/>
          <w:sz w:val="22"/>
          <w:szCs w:val="22"/>
          <w:color w:val="auto"/>
        </w:rPr>
        <w:t>A Ten Percent Stockholder will not be granted an Incentive Stock Option unless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 of such Option is at least 110% of the Fair Market Value on the date of grant and the Option is not exercisable after the expiration of five years from the date of grant.</w:t>
      </w:r>
    </w:p>
    <w:p>
      <w:pPr>
        <w:spacing w:after="0" w:line="16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rovisions relating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9" w:name="page130"/>
    <w:bookmarkEnd w:id="129"/>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Award Agreement will conform to (through incorporation of provisions hereof by reference in the applicable Award Agreement or otherwise) the substance of each of the following provisions:</w:t>
      </w:r>
    </w:p>
    <w:p>
      <w:pPr>
        <w:spacing w:after="0" w:line="173" w:lineRule="exact"/>
        <w:rPr>
          <w:sz w:val="20"/>
          <w:szCs w:val="20"/>
          <w:color w:val="auto"/>
        </w:rPr>
      </w:pPr>
    </w:p>
    <w:p>
      <w:pPr>
        <w:ind w:right="20" w:firstLine="8"/>
        <w:spacing w:after="0" w:line="262" w:lineRule="auto"/>
        <w:tabs>
          <w:tab w:leader="none" w:pos="509"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Subject to the provisions of Section 4(b) regarding Ten Percent Stockholders, no Option or SAR will be exercisable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expiration of ten years from the date of its grant or such shorter period specified in the Award Agreement.</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509"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Price. </w:t>
      </w:r>
      <w:r>
        <w:rPr>
          <w:rFonts w:ascii="Times New Roman" w:cs="Times New Roman" w:eastAsia="Times New Roman" w:hAnsi="Times New Roman"/>
          <w:sz w:val="22"/>
          <w:szCs w:val="22"/>
          <w:color w:val="auto"/>
        </w:rPr>
        <w:t>Subject to the provisions of Section 4(b) regarding Ten Percent Stockholders, the exercise or strike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Purchase Price for Options. </w:t>
      </w:r>
      <w:r>
        <w:rPr>
          <w:rFonts w:ascii="Times New Roman" w:cs="Times New Roman" w:eastAsia="Times New Roman" w:hAnsi="Times New Roman"/>
          <w:sz w:val="22"/>
          <w:szCs w:val="22"/>
          <w:color w:val="auto"/>
        </w:rPr>
        <w:t>The purchase price of Common Stock acquired pursuant to the exercise of an Option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to the extent permitted by Applicable Law and as determined by the Board in its sole discretion, by any combination of the methods of payment set forth below. In order to exercise an Option, the Participant must provide notice of exercise in accordance with the procedures specified in the Option Agreement or otherwise provided by the Company. The Board will have the authority to grant Options that do not permit all of the following methods of payment (or otherwise restrict the ability to use certain methods) and to grant Options that require the consent of the Company to use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2"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cash, check, bank draft or money order payable to the Company;</w:t>
      </w:r>
    </w:p>
    <w:p>
      <w:pPr>
        <w:spacing w:after="0" w:line="206" w:lineRule="exact"/>
        <w:rPr>
          <w:rFonts w:ascii="Times New Roman" w:cs="Times New Roman" w:eastAsia="Times New Roman" w:hAnsi="Times New Roman"/>
          <w:sz w:val="22"/>
          <w:szCs w:val="22"/>
          <w:b w:val="1"/>
          <w:bCs w:val="1"/>
          <w:color w:val="auto"/>
        </w:rPr>
      </w:pPr>
    </w:p>
    <w:p>
      <w:pPr>
        <w:jc w:val="both"/>
        <w:ind w:right="20" w:firstLine="8"/>
        <w:spacing w:after="0" w:line="244" w:lineRule="auto"/>
        <w:tabs>
          <w:tab w:leader="none" w:pos="509"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 “cashless exercise”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509"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any remaining balance of the exercise price not satisfied by such delivery is paid by the Participant in cash or other permitted form of payment, (2) such delivery would not violate any Applicable Law or agreement restricting the redemption of the Common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Stock, (3) any certificated shares are endorsed or accompanied by an executed assignment separate from certificate, and (4) such shares have been held by the Participant for any minimum period necessary to avoid adverse accounting treatment as a result of such delivery;</w:t>
      </w:r>
    </w:p>
    <w:p>
      <w:pPr>
        <w:spacing w:after="0" w:line="173" w:lineRule="exact"/>
        <w:rPr>
          <w:sz w:val="20"/>
          <w:szCs w:val="20"/>
          <w:color w:val="auto"/>
        </w:rPr>
      </w:pPr>
    </w:p>
    <w:p>
      <w:pPr>
        <w:jc w:val="both"/>
        <w:ind w:firstLine="8"/>
        <w:spacing w:after="0" w:line="245" w:lineRule="auto"/>
        <w:tabs>
          <w:tab w:leader="none" w:pos="509"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reduced to pay the exercise price pursuant to the “net exercise,”</w:t>
      </w:r>
    </w:p>
    <w:p>
      <w:pPr>
        <w:spacing w:after="0" w:line="2" w:lineRule="exact"/>
        <w:rPr>
          <w:rFonts w:ascii="Times New Roman" w:cs="Times New Roman" w:eastAsia="Times New Roman" w:hAnsi="Times New Roman"/>
          <w:sz w:val="21"/>
          <w:szCs w:val="21"/>
          <w:b w:val="1"/>
          <w:bCs w:val="1"/>
          <w:color w:val="auto"/>
        </w:rPr>
      </w:pPr>
    </w:p>
    <w:p>
      <w:pPr>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(B) shares are delivered to the Participant as a result of such exercise, and (C) shares are withheld to satisfy tax withholding obligations; or</w:t>
      </w:r>
    </w:p>
    <w:p>
      <w:pPr>
        <w:spacing w:after="0" w:line="178" w:lineRule="exact"/>
        <w:rPr>
          <w:rFonts w:ascii="Times New Roman" w:cs="Times New Roman" w:eastAsia="Times New Roman" w:hAnsi="Times New Roman"/>
          <w:sz w:val="21"/>
          <w:szCs w:val="21"/>
          <w:b w:val="1"/>
          <w:bCs w:val="1"/>
          <w:color w:val="auto"/>
        </w:rPr>
      </w:pPr>
    </w:p>
    <w:p>
      <w:pPr>
        <w:ind w:right="20" w:firstLine="8"/>
        <w:spacing w:after="0" w:line="258" w:lineRule="auto"/>
        <w:tabs>
          <w:tab w:leader="none" w:pos="509"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any other form of legal consideration that may be acceptable to the Board and specified in the applicable Award Agreement.</w:t>
      </w:r>
    </w:p>
    <w:p>
      <w:pPr>
        <w:spacing w:after="0" w:line="154" w:lineRule="exact"/>
        <w:rPr>
          <w:sz w:val="20"/>
          <w:szCs w:val="20"/>
          <w:color w:val="auto"/>
        </w:rPr>
      </w:pPr>
    </w:p>
    <w:p>
      <w:pPr>
        <w:jc w:val="both"/>
        <w:ind w:firstLine="8"/>
        <w:spacing w:after="0" w:line="235" w:lineRule="auto"/>
        <w:tabs>
          <w:tab w:leader="none" w:pos="509"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and Payment of a SAR. </w:t>
      </w:r>
      <w:r>
        <w:rPr>
          <w:rFonts w:ascii="Times New Roman" w:cs="Times New Roman" w:eastAsia="Times New Roman" w:hAnsi="Times New Roman"/>
          <w:sz w:val="22"/>
          <w:szCs w:val="22"/>
          <w:color w:val="auto"/>
        </w:rPr>
        <w:t>To exercise any outstanding SAR, the Participant must provide written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of Options and SARs. </w:t>
      </w:r>
      <w:r>
        <w:rPr>
          <w:rFonts w:ascii="Times New Roman" w:cs="Times New Roman" w:eastAsia="Times New Roman" w:hAnsi="Times New Roman"/>
          <w:sz w:val="22"/>
          <w:szCs w:val="22"/>
          <w:color w:val="auto"/>
        </w:rPr>
        <w:t>Options and SARs may not be transferred to third party financial institutions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spacing w:after="0" w:line="172" w:lineRule="exact"/>
        <w:rPr>
          <w:sz w:val="20"/>
          <w:szCs w:val="20"/>
          <w:color w:val="auto"/>
        </w:rPr>
      </w:pPr>
    </w:p>
    <w:p>
      <w:pPr>
        <w:jc w:val="both"/>
        <w:ind w:firstLine="8"/>
        <w:spacing w:after="0" w:line="256" w:lineRule="auto"/>
        <w:tabs>
          <w:tab w:leader="none" w:pos="509"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Restrictions on Transfer. </w:t>
      </w:r>
      <w:r>
        <w:rPr>
          <w:rFonts w:ascii="Times New Roman" w:cs="Times New Roman" w:eastAsia="Times New Roman" w:hAnsi="Times New Roman"/>
          <w:sz w:val="21"/>
          <w:szCs w:val="21"/>
          <w:color w:val="auto"/>
        </w:rPr>
        <w:t>An Option or SAR will not be transferable except by will or by the laws of descent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57" w:lineRule="exact"/>
        <w:rPr>
          <w:rFonts w:ascii="Times New Roman" w:cs="Times New Roman" w:eastAsia="Times New Roman" w:hAnsi="Times New Roman"/>
          <w:sz w:val="21"/>
          <w:szCs w:val="21"/>
          <w:b w:val="1"/>
          <w:bCs w:val="1"/>
          <w:color w:val="auto"/>
        </w:rPr>
      </w:pPr>
    </w:p>
    <w:p>
      <w:pPr>
        <w:jc w:val="both"/>
        <w:ind w:firstLine="8"/>
        <w:spacing w:after="0" w:line="246" w:lineRule="auto"/>
        <w:tabs>
          <w:tab w:leader="none" w:pos="509"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Domestic Relations Orders. </w:t>
      </w:r>
      <w:r>
        <w:rPr>
          <w:rFonts w:ascii="Times New Roman" w:cs="Times New Roman" w:eastAsia="Times New Roman" w:hAnsi="Times New Roman"/>
          <w:sz w:val="22"/>
          <w:szCs w:val="22"/>
          <w:color w:val="auto"/>
        </w:rPr>
        <w:t>Subject to the approval of the Board or a duly authorized Officer, an Option or SAR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transferred pursuant to the terms of a domestic relations order or official marital settlement agreement or other divorce or separation instrument as permitted 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ind w:firstLine="509"/>
        <w:spacing w:after="0" w:line="258" w:lineRule="auto"/>
        <w:rPr>
          <w:sz w:val="20"/>
          <w:szCs w:val="20"/>
          <w:color w:val="auto"/>
        </w:rPr>
      </w:pPr>
      <w:r>
        <w:rPr>
          <w:rFonts w:ascii="Times New Roman" w:cs="Times New Roman" w:eastAsia="Times New Roman" w:hAnsi="Times New Roman"/>
          <w:sz w:val="22"/>
          <w:szCs w:val="22"/>
          <w:color w:val="auto"/>
        </w:rPr>
        <w:t>Treasury Regulations Section 1.421-1(b)(2). If an Option is an Incentive Stock Option, such Option may be deemed to be a Nonstatutory Stock Option as a result of such transfer.</w:t>
      </w:r>
    </w:p>
    <w:p>
      <w:pPr>
        <w:spacing w:after="0" w:line="154" w:lineRule="exact"/>
        <w:rPr>
          <w:sz w:val="20"/>
          <w:szCs w:val="20"/>
          <w:color w:val="auto"/>
        </w:rPr>
      </w:pPr>
    </w:p>
    <w:p>
      <w:pPr>
        <w:jc w:val="both"/>
        <w:ind w:firstLine="8"/>
        <w:spacing w:after="0" w:line="236" w:lineRule="auto"/>
        <w:tabs>
          <w:tab w:leader="none" w:pos="509"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Subject to the approval of the Board or a duly authorized Officer, a Participant may,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76" w:lineRule="exact"/>
        <w:rPr>
          <w:sz w:val="20"/>
          <w:szCs w:val="20"/>
          <w:color w:val="auto"/>
        </w:rPr>
      </w:pPr>
    </w:p>
    <w:p>
      <w:pPr>
        <w:jc w:val="both"/>
        <w:ind w:firstLine="8"/>
        <w:spacing w:after="0" w:line="237" w:lineRule="auto"/>
        <w:tabs>
          <w:tab w:leader="none" w:pos="509"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Generally. </w:t>
      </w:r>
      <w:r>
        <w:rPr>
          <w:rFonts w:ascii="Times New Roman" w:cs="Times New Roman" w:eastAsia="Times New Roman" w:hAnsi="Times New Roman"/>
          <w:sz w:val="22"/>
          <w:szCs w:val="22"/>
          <w:color w:val="auto"/>
        </w:rPr>
        <w:t>The total number of shares of Common Stock subject to an Option or SAR may vest and therefore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Continuous Service. </w:t>
      </w:r>
      <w:r>
        <w:rPr>
          <w:rFonts w:ascii="Times New Roman" w:cs="Times New Roman" w:eastAsia="Times New Roman" w:hAnsi="Times New Roman"/>
          <w:sz w:val="22"/>
          <w:szCs w:val="22"/>
          <w:color w:val="auto"/>
        </w:rPr>
        <w:t>Except as otherwise provided in the applicable Award Agreement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which occurs three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within the applicable time frame, the Option or SAR will terminate.</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Extension of Termination Date. </w:t>
      </w:r>
      <w:r>
        <w:rPr>
          <w:rFonts w:ascii="Times New Roman" w:cs="Times New Roman" w:eastAsia="Times New Roman" w:hAnsi="Times New Roman"/>
          <w:sz w:val="22"/>
          <w:szCs w:val="22"/>
          <w:color w:val="auto"/>
        </w:rPr>
        <w:t>Except as otherwise provided in the applicable Award Agreement, if the exercise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three months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will terminate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on the earlier of (i) the expiration of a period of days or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76" w:lineRule="exact"/>
        <w:rPr>
          <w:sz w:val="20"/>
          <w:szCs w:val="20"/>
          <w:color w:val="auto"/>
        </w:rPr>
      </w:pPr>
    </w:p>
    <w:p>
      <w:pPr>
        <w:jc w:val="both"/>
        <w:ind w:firstLine="8"/>
        <w:spacing w:after="0" w:line="235" w:lineRule="auto"/>
        <w:tabs>
          <w:tab w:leader="none" w:pos="509"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Disability of Participant. </w:t>
      </w:r>
      <w:r>
        <w:rPr>
          <w:rFonts w:ascii="Times New Roman" w:cs="Times New Roman" w:eastAsia="Times New Roman" w:hAnsi="Times New Roman"/>
          <w:sz w:val="22"/>
          <w:szCs w:val="22"/>
          <w:color w:val="auto"/>
        </w:rPr>
        <w:t>Except as otherwise provided in the applicable Award Agreement or other agreement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which occurs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Death of Participant. </w:t>
      </w:r>
      <w:r>
        <w:rPr>
          <w:rFonts w:ascii="Times New Roman" w:cs="Times New Roman" w:eastAsia="Times New Roman" w:hAnsi="Times New Roman"/>
          <w:sz w:val="22"/>
          <w:szCs w:val="22"/>
          <w:color w:val="auto"/>
        </w:rPr>
        <w:t>Except as otherwise provided in the applicable Award Agreement or other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which occurs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will terminate.</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48" w:lineRule="auto"/>
        <w:tabs>
          <w:tab w:leader="none" w:pos="509"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for Cause. </w:t>
      </w:r>
      <w:r>
        <w:rPr>
          <w:rFonts w:ascii="Times New Roman" w:cs="Times New Roman" w:eastAsia="Times New Roman" w:hAnsi="Times New Roman"/>
          <w:sz w:val="21"/>
          <w:szCs w:val="21"/>
          <w:color w:val="auto"/>
        </w:rPr>
        <w:t>Except as explicitly provided otherwise in a Participant’s Award Agreement or other individual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agreement between the Company or any Affiliate and the Participant, if a Participant’s Continuous Service is terminated for Cause, the Option or SAR will terminate immediately upon the date on which the event giving rise to the termination for Cause first occurred, and the Participant will be prohibited from exercising his or her Option or SAR from and after the date on which the event giving rise to the termination for Cause first occurred (or, if required by law, the date of termination of Continuous Service). If a Participant’s Continuous Service is suspended pending an investigation of the existence of Cause, all of the Participant’s rights under the Option or SAR will also be suspended during the investigation period.</w:t>
      </w:r>
    </w:p>
    <w:p>
      <w:pPr>
        <w:spacing w:after="0" w:line="170" w:lineRule="exact"/>
        <w:rPr>
          <w:rFonts w:ascii="Times New Roman" w:cs="Times New Roman" w:eastAsia="Times New Roman" w:hAnsi="Times New Roman"/>
          <w:sz w:val="21"/>
          <w:szCs w:val="21"/>
          <w:b w:val="1"/>
          <w:bCs w:val="1"/>
          <w:color w:val="auto"/>
        </w:rPr>
      </w:pPr>
    </w:p>
    <w:p>
      <w:pPr>
        <w:jc w:val="both"/>
        <w:ind w:firstLine="8"/>
        <w:spacing w:after="0" w:line="241" w:lineRule="auto"/>
        <w:tabs>
          <w:tab w:leader="none" w:pos="509"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Non-Exempt Employees</w:t>
      </w:r>
      <w:r>
        <w:rPr>
          <w:rFonts w:ascii="Times New Roman" w:cs="Times New Roman" w:eastAsia="Times New Roman" w:hAnsi="Times New Roman"/>
          <w:sz w:val="22"/>
          <w:szCs w:val="22"/>
          <w:color w:val="auto"/>
        </w:rPr>
        <w:t>. If an Option or SAR is granted to an Employee who is a non-exempt employee for purposes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Fair Labor Standards 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5"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rovisions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 other than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SAR</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8"/>
        <w:spacing w:after="0" w:line="235" w:lineRule="auto"/>
        <w:tabs>
          <w:tab w:leader="none" w:pos="509"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Awards. </w:t>
      </w:r>
      <w:r>
        <w:rPr>
          <w:rFonts w:ascii="Times New Roman" w:cs="Times New Roman" w:eastAsia="Times New Roman" w:hAnsi="Times New Roman"/>
          <w:sz w:val="22"/>
          <w:szCs w:val="22"/>
          <w:color w:val="auto"/>
        </w:rPr>
        <w:t>Each Restricted Stock Award Agreement will be in such form and will contain such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78" w:lineRule="exact"/>
        <w:rPr>
          <w:sz w:val="20"/>
          <w:szCs w:val="20"/>
          <w:color w:val="auto"/>
        </w:rPr>
      </w:pPr>
    </w:p>
    <w:p>
      <w:pPr>
        <w:jc w:val="both"/>
        <w:ind w:firstLine="8"/>
        <w:spacing w:after="0" w:line="246" w:lineRule="auto"/>
        <w:tabs>
          <w:tab w:leader="none" w:pos="509"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A Restricted Stock Award may be awarded in consideration for (A) cash, check, bank draft or money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67"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509"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Shares of Common Stock awarded under the Restricted Stock Award Agreement may be subject to forfeiture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in accordance with a vesting schedule to be determined by the Board.</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63" w:lineRule="auto"/>
        <w:tabs>
          <w:tab w:leader="none" w:pos="509"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of Participant’s Continuous Service. </w:t>
      </w:r>
      <w:r>
        <w:rPr>
          <w:rFonts w:ascii="Times New Roman" w:cs="Times New Roman" w:eastAsia="Times New Roman" w:hAnsi="Times New Roman"/>
          <w:sz w:val="21"/>
          <w:szCs w:val="21"/>
          <w:color w:val="auto"/>
        </w:rPr>
        <w:t>If a Participant’s Continuous Service terminates, the Company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51" w:lineRule="exact"/>
        <w:rPr>
          <w:rFonts w:ascii="Times New Roman" w:cs="Times New Roman" w:eastAsia="Times New Roman" w:hAnsi="Times New Roman"/>
          <w:sz w:val="21"/>
          <w:szCs w:val="21"/>
          <w:b w:val="1"/>
          <w:bCs w:val="1"/>
          <w:color w:val="auto"/>
        </w:rPr>
      </w:pPr>
    </w:p>
    <w:p>
      <w:pPr>
        <w:jc w:val="both"/>
        <w:ind w:firstLine="8"/>
        <w:spacing w:after="0" w:line="241" w:lineRule="auto"/>
        <w:tabs>
          <w:tab w:leader="none" w:pos="509"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Rights to acquire shares of Common Stock under the Restricted Stock Award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jc w:val="both"/>
        <w:ind w:firstLine="8"/>
        <w:spacing w:after="0" w:line="238" w:lineRule="auto"/>
        <w:tabs>
          <w:tab w:leader="none" w:pos="509"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Unit Awards. </w:t>
      </w:r>
      <w:r>
        <w:rPr>
          <w:rFonts w:ascii="Times New Roman" w:cs="Times New Roman" w:eastAsia="Times New Roman" w:hAnsi="Times New Roman"/>
          <w:sz w:val="22"/>
          <w:szCs w:val="22"/>
          <w:color w:val="auto"/>
        </w:rPr>
        <w:t>Each Restricted Stock Unit Award Agreement will be in such form and will contain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7" w:lineRule="exact"/>
        <w:rPr>
          <w:sz w:val="20"/>
          <w:szCs w:val="20"/>
          <w:color w:val="auto"/>
        </w:rPr>
      </w:pPr>
    </w:p>
    <w:p>
      <w:pPr>
        <w:jc w:val="both"/>
        <w:ind w:firstLine="8"/>
        <w:spacing w:after="0" w:line="238" w:lineRule="auto"/>
        <w:tabs>
          <w:tab w:leader="none" w:pos="509"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At the time of grant of a Restricted Stock Unit Award, the Board will determine the consideration,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509"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At the time of the grant of a Restricted Stock Unit Award, the Board may impose such restrictions 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to the vesting of the Restricted Stock Unit Award as it, in its sole discretion, deems appropriate.</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 Restricted Stock Unit Award may be settled by the delivery of shares of Common Stock, their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 any combination thereof or in any other form of consideration, as determined by the Board and contained in the Restricted Stock Unit Award Agreement.</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Additional Restrictions. </w:t>
      </w:r>
      <w:r>
        <w:rPr>
          <w:rFonts w:ascii="Times New Roman" w:cs="Times New Roman" w:eastAsia="Times New Roman" w:hAnsi="Times New Roman"/>
          <w:sz w:val="22"/>
          <w:szCs w:val="22"/>
          <w:color w:val="auto"/>
        </w:rPr>
        <w:t>At the time of the grant of a Restricted Stock Unit Award, the Board, as it deems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impose such restrictions or conditions that delay the delivery of the shares of Common Stock (or their cash equivalent) subject to a Restricted Stock Unit Award to a time after the vesting of such Restricted Stock Unit Award.</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Participant’s Continuous Service. </w:t>
      </w:r>
      <w:r>
        <w:rPr>
          <w:rFonts w:ascii="Times New Roman" w:cs="Times New Roman" w:eastAsia="Times New Roman" w:hAnsi="Times New Roman"/>
          <w:sz w:val="22"/>
          <w:szCs w:val="22"/>
          <w:color w:val="auto"/>
        </w:rPr>
        <w:t>Except as otherwise provided in the applicable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such portion of the Restricted Stock Unit Award that has not vested will be forfeited upon the Participant’s termination of Continuous Service.</w:t>
      </w:r>
    </w:p>
    <w:p>
      <w:pPr>
        <w:spacing w:after="0" w:line="167"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
        <w:spacing w:after="0" w:line="235" w:lineRule="auto"/>
        <w:tabs>
          <w:tab w:leader="none" w:pos="509"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Stock Awards</w:t>
      </w:r>
      <w:r>
        <w:rPr>
          <w:rFonts w:ascii="Times New Roman" w:cs="Times New Roman" w:eastAsia="Times New Roman" w:hAnsi="Times New Roman"/>
          <w:sz w:val="22"/>
          <w:szCs w:val="22"/>
          <w:color w:val="auto"/>
        </w:rPr>
        <w:t>. A Performance Stock Award is a Stock Award (covering a number of shares not in excess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set forth in Section 3(d) above) that is payable or that may be granted, may vest or 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in its sole discretion. In addition, to the extent permitted by Applicable Law and the applicable Award Agreement, the Board may determine that cash may be used in payment of Performance Stock Awards.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5" w:name="page136"/>
    <w:bookmarkEnd w:id="135"/>
    <w:p>
      <w:pPr>
        <w:jc w:val="both"/>
        <w:ind w:firstLine="8"/>
        <w:spacing w:after="0" w:line="247" w:lineRule="auto"/>
        <w:tabs>
          <w:tab w:leader="none" w:pos="509"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Cash Awards</w:t>
      </w:r>
      <w:r>
        <w:rPr>
          <w:rFonts w:ascii="Times New Roman" w:cs="Times New Roman" w:eastAsia="Times New Roman" w:hAnsi="Times New Roman"/>
          <w:sz w:val="21"/>
          <w:szCs w:val="21"/>
          <w:color w:val="auto"/>
        </w:rPr>
        <w:t>. A Performance Cash Award is a cash award (for a dollar value not in excess of that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Section 3(d) above)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72" w:lineRule="exact"/>
        <w:rPr>
          <w:sz w:val="20"/>
          <w:szCs w:val="20"/>
          <w:color w:val="auto"/>
        </w:rPr>
      </w:pPr>
    </w:p>
    <w:p>
      <w:pPr>
        <w:jc w:val="both"/>
        <w:ind w:firstLine="8"/>
        <w:spacing w:after="0" w:line="237" w:lineRule="auto"/>
        <w:tabs>
          <w:tab w:leader="none" w:pos="509"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Stock Awards</w:t>
      </w:r>
      <w:r>
        <w:rPr>
          <w:rFonts w:ascii="Times New Roman" w:cs="Times New Roman" w:eastAsia="Times New Roman" w:hAnsi="Times New Roman"/>
          <w:sz w:val="22"/>
          <w:szCs w:val="22"/>
          <w:color w:val="auto"/>
        </w:rPr>
        <w:t>. Other forms of Stock Awards valued in whole or in part by reference to, or otherwise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including the appreciation in value thereof,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75"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firstLine="8"/>
        <w:spacing w:after="0" w:line="262" w:lineRule="auto"/>
        <w:tabs>
          <w:tab w:leader="none" w:pos="509"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Availability of Shares. </w:t>
      </w:r>
      <w:r>
        <w:rPr>
          <w:rFonts w:ascii="Times New Roman" w:cs="Times New Roman" w:eastAsia="Times New Roman" w:hAnsi="Times New Roman"/>
          <w:sz w:val="22"/>
          <w:szCs w:val="22"/>
          <w:color w:val="auto"/>
        </w:rPr>
        <w:t>The Company will keep available at all times the number of shares of Common Stock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satisfy then-outstanding Awards.</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09"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Securities Law Compliance. </w:t>
      </w:r>
      <w:r>
        <w:rPr>
          <w:rFonts w:ascii="Times New Roman" w:cs="Times New Roman" w:eastAsia="Times New Roman" w:hAnsi="Times New Roman"/>
          <w:sz w:val="21"/>
          <w:szCs w:val="21"/>
          <w:color w:val="auto"/>
        </w:rPr>
        <w:t>The Company will seek to obtain from each regulatory commission or agency having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jurisdiction over the Plan such authority as may be required to grant Stock Awards and to issue and sell shares of Common Stock upon exercise of the Stock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66" w:lineRule="exact"/>
        <w:rPr>
          <w:rFonts w:ascii="Times New Roman" w:cs="Times New Roman" w:eastAsia="Times New Roman" w:hAnsi="Times New Roman"/>
          <w:sz w:val="21"/>
          <w:szCs w:val="21"/>
          <w:b w:val="1"/>
          <w:bCs w:val="1"/>
          <w:color w:val="auto"/>
        </w:rPr>
      </w:pPr>
    </w:p>
    <w:p>
      <w:pPr>
        <w:jc w:val="both"/>
        <w:ind w:firstLine="8"/>
        <w:spacing w:after="0" w:line="238" w:lineRule="auto"/>
        <w:tabs>
          <w:tab w:leader="none" w:pos="509"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Obligation to Notify or Minimize Taxes. </w:t>
      </w:r>
      <w:r>
        <w:rPr>
          <w:rFonts w:ascii="Times New Roman" w:cs="Times New Roman" w:eastAsia="Times New Roman" w:hAnsi="Times New Roman"/>
          <w:sz w:val="22"/>
          <w:szCs w:val="22"/>
          <w:color w:val="auto"/>
        </w:rPr>
        <w:t>The Company will have no duty or obligation to any Participant to advise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6" w:name="page137"/>
    <w:bookmarkEnd w:id="136"/>
    <w:p>
      <w:pPr>
        <w:ind w:left="520" w:hanging="512"/>
        <w:spacing w:after="0"/>
        <w:tabs>
          <w:tab w:leader="none" w:pos="52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firstLine="8"/>
        <w:spacing w:after="0" w:line="262" w:lineRule="auto"/>
        <w:tabs>
          <w:tab w:leader="none" w:pos="509"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Use of Proceeds from Sales of Common Stock. </w:t>
      </w:r>
      <w:r>
        <w:rPr>
          <w:rFonts w:ascii="Times New Roman" w:cs="Times New Roman" w:eastAsia="Times New Roman" w:hAnsi="Times New Roman"/>
          <w:sz w:val="22"/>
          <w:szCs w:val="22"/>
          <w:color w:val="auto"/>
        </w:rPr>
        <w:t>Proceeds from the sale of shares of Common Stock pursuant to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constitute general funds of the Company.</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Action Constituting Grant of Awards. </w:t>
      </w:r>
      <w:r>
        <w:rPr>
          <w:rFonts w:ascii="Times New Roman" w:cs="Times New Roman" w:eastAsia="Times New Roman" w:hAnsi="Times New Roman"/>
          <w:sz w:val="22"/>
          <w:szCs w:val="22"/>
          <w:color w:val="auto"/>
        </w:rPr>
        <w:t>Corporate action constituting a grant by the Company of an Award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Stockholder Rights. </w:t>
      </w:r>
      <w:r>
        <w:rPr>
          <w:rFonts w:ascii="Times New Roman" w:cs="Times New Roman" w:eastAsia="Times New Roman" w:hAnsi="Times New Roman"/>
          <w:sz w:val="22"/>
          <w:szCs w:val="22"/>
          <w:color w:val="auto"/>
        </w:rPr>
        <w:t>No Participant will be deemed to be the holder of, or to have any of the rights of a holder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509"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Employment or Other Service Rights. </w:t>
      </w:r>
      <w:r>
        <w:rPr>
          <w:rFonts w:ascii="Times New Roman" w:cs="Times New Roman" w:eastAsia="Times New Roman" w:hAnsi="Times New Roman"/>
          <w:sz w:val="22"/>
          <w:szCs w:val="22"/>
          <w:color w:val="auto"/>
        </w:rPr>
        <w:t>Nothing in the Plan, any Award Agreement or any other instrument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48" w:lineRule="auto"/>
        <w:tabs>
          <w:tab w:leader="none" w:pos="509"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Change in Time Commitment. </w:t>
      </w:r>
      <w:r>
        <w:rPr>
          <w:rFonts w:ascii="Times New Roman" w:cs="Times New Roman" w:eastAsia="Times New Roman" w:hAnsi="Times New Roman"/>
          <w:sz w:val="21"/>
          <w:szCs w:val="21"/>
          <w:color w:val="auto"/>
        </w:rPr>
        <w:t>In the event a Participant’s regular level of time commitment in the performance of his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34" w:lineRule="auto"/>
        <w:tabs>
          <w:tab w:leader="none" w:pos="34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3" w:lineRule="exact"/>
        <w:rPr>
          <w:rFonts w:ascii="Times New Roman" w:cs="Times New Roman" w:eastAsia="Times New Roman" w:hAnsi="Times New Roman"/>
          <w:sz w:val="22"/>
          <w:szCs w:val="22"/>
          <w:color w:val="auto"/>
        </w:rPr>
      </w:pPr>
    </w:p>
    <w:p>
      <w:pPr>
        <w:ind w:firstLine="8"/>
        <w:spacing w:after="0" w:line="262" w:lineRule="auto"/>
        <w:tabs>
          <w:tab w:leader="none" w:pos="509"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Incentive Stock Option Limitations. </w:t>
      </w:r>
      <w:r>
        <w:rPr>
          <w:rFonts w:ascii="Times New Roman" w:cs="Times New Roman" w:eastAsia="Times New Roman" w:hAnsi="Times New Roman"/>
          <w:sz w:val="22"/>
          <w:szCs w:val="22"/>
          <w:color w:val="auto"/>
        </w:rPr>
        <w:t>To the extent that the aggregate Fair Market Value (determined at the time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Common Stock with respect to which Incentive Stock Options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7" w:name="page138"/>
    <w:bookmarkEnd w:id="137"/>
    <w:p>
      <w:pPr>
        <w:jc w:val="both"/>
        <w:ind w:firstLine="509"/>
        <w:spacing w:after="0" w:line="238" w:lineRule="auto"/>
        <w:rPr>
          <w:sz w:val="20"/>
          <w:szCs w:val="20"/>
          <w:color w:val="auto"/>
        </w:rPr>
      </w:pPr>
      <w:r>
        <w:rPr>
          <w:rFonts w:ascii="Times New Roman" w:cs="Times New Roman" w:eastAsia="Times New Roman" w:hAnsi="Times New Roman"/>
          <w:sz w:val="22"/>
          <w:szCs w:val="22"/>
          <w:color w:val="auto"/>
        </w:rPr>
        <w:t>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the rules will be treated as Nonstatutory Stock Options, notwithstanding any contrary provision of the applicable Option Agreement(s).</w:t>
      </w:r>
    </w:p>
    <w:p>
      <w:pPr>
        <w:spacing w:after="0" w:line="173" w:lineRule="exact"/>
        <w:rPr>
          <w:sz w:val="20"/>
          <w:szCs w:val="20"/>
          <w:color w:val="auto"/>
        </w:rPr>
      </w:pPr>
    </w:p>
    <w:p>
      <w:pPr>
        <w:jc w:val="both"/>
        <w:ind w:firstLine="8"/>
        <w:spacing w:after="0" w:line="233" w:lineRule="auto"/>
        <w:tabs>
          <w:tab w:leader="none" w:pos="509"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Investment Assurances. </w:t>
      </w:r>
      <w:r>
        <w:rPr>
          <w:rFonts w:ascii="Times New Roman" w:cs="Times New Roman" w:eastAsia="Times New Roman" w:hAnsi="Times New Roman"/>
          <w:sz w:val="22"/>
          <w:szCs w:val="22"/>
          <w:color w:val="auto"/>
        </w:rPr>
        <w:t>The Company may require a Participant, as a condition of exercising or acquiring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Unless prohibited by the terms of an Award Agreement, the Company may,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shares of Common Stock are withheld with a value exceeding an amount of tax calculated based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maximum statutory tax rates in a Participant’s applicable tax jurisdiction (or such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including proceeds from the sale of shares of Common Stock issued pursuant to a Stock Award; (v) a “sell to cover” arrangement; or (vi) by such other method as may be set forth in the Award Agreement.</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Any reference herein to a “written” agreement or document will include any agreement or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electronically, filed publicly at www.sec.gov (or any successor website thereto) or posted on the Company’s intranet (or other shared electronic medium controlled by the Company to which the Participant has access).</w:t>
      </w:r>
    </w:p>
    <w:p>
      <w:pPr>
        <w:spacing w:after="0" w:line="167"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509"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Deferrals. </w:t>
      </w:r>
      <w:r>
        <w:rPr>
          <w:rFonts w:ascii="Times New Roman" w:cs="Times New Roman" w:eastAsia="Times New Roman" w:hAnsi="Times New Roman"/>
          <w:sz w:val="22"/>
          <w:szCs w:val="22"/>
          <w:color w:val="auto"/>
        </w:rPr>
        <w:t>To the extent permitted by Applicable Law, the Board, in its sole discretion, may determine that the delivery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or the payment of cash, upon the exercise,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jc w:val="both"/>
        <w:ind w:firstLine="509"/>
        <w:spacing w:after="0" w:line="235" w:lineRule="auto"/>
        <w:rPr>
          <w:sz w:val="20"/>
          <w:szCs w:val="20"/>
          <w:color w:val="auto"/>
        </w:rPr>
      </w:pPr>
      <w:r>
        <w:rPr>
          <w:rFonts w:ascii="Times New Roman" w:cs="Times New Roman" w:eastAsia="Times New Roman" w:hAnsi="Times New Roman"/>
          <w:sz w:val="22"/>
          <w:szCs w:val="22"/>
          <w:color w:val="auto"/>
        </w:rPr>
        <w:t>vesting or settlement of all or a portion of any Award may be deferred and may establish programs and procedures for deferral elections to be made by Participants. Deferrals by Participants will be made in accordance with Section 409A of the Code (to the extent applicable to a Participant).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9" w:lineRule="exact"/>
        <w:rPr>
          <w:sz w:val="20"/>
          <w:szCs w:val="20"/>
          <w:color w:val="auto"/>
        </w:rPr>
      </w:pPr>
    </w:p>
    <w:p>
      <w:pPr>
        <w:jc w:val="both"/>
        <w:ind w:firstLine="8"/>
        <w:spacing w:after="0" w:line="233" w:lineRule="auto"/>
        <w:tabs>
          <w:tab w:leader="none" w:pos="509"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Section 409A. </w:t>
      </w:r>
      <w:r>
        <w:rPr>
          <w:rFonts w:ascii="Times New Roman" w:cs="Times New Roman" w:eastAsia="Times New Roman" w:hAnsi="Times New Roman"/>
          <w:sz w:val="22"/>
          <w:szCs w:val="22"/>
          <w:color w:val="auto"/>
        </w:rPr>
        <w:t>Unless otherwise expressly provided for in an Award Agreement, the Plan and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09"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Clawback/Recovery</w:t>
      </w:r>
      <w:r>
        <w:rPr>
          <w:rFonts w:ascii="Times New Roman" w:cs="Times New Roman" w:eastAsia="Times New Roman" w:hAnsi="Times New Roman"/>
          <w:sz w:val="21"/>
          <w:szCs w:val="21"/>
          <w:color w:val="auto"/>
        </w:rPr>
        <w:t>. All Awards granted under the Plan will be subject to recoupment in accordance with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current clawback policy, as it may be amended from time to time, and any clawback policy that the Company is required to adopt pursuant to the listing standards of any national securities exchange or association on which the Company’s securities are listed or as is otherwise required by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 or an Affiliate.</w:t>
      </w:r>
    </w:p>
    <w:p>
      <w:pPr>
        <w:spacing w:after="0" w:line="171" w:lineRule="exact"/>
        <w:rPr>
          <w:rFonts w:ascii="Times New Roman" w:cs="Times New Roman" w:eastAsia="Times New Roman" w:hAnsi="Times New Roman"/>
          <w:sz w:val="21"/>
          <w:szCs w:val="21"/>
          <w:b w:val="1"/>
          <w:bCs w:val="1"/>
          <w:color w:val="auto"/>
        </w:rPr>
      </w:pPr>
    </w:p>
    <w:p>
      <w:pPr>
        <w:jc w:val="both"/>
        <w:ind w:firstLine="8"/>
        <w:spacing w:after="0" w:line="246" w:lineRule="auto"/>
        <w:tabs>
          <w:tab w:leader="none" w:pos="509"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and Dividend Equivalents. </w:t>
      </w:r>
      <w:r>
        <w:rPr>
          <w:rFonts w:ascii="Times New Roman" w:cs="Times New Roman" w:eastAsia="Times New Roman" w:hAnsi="Times New Roman"/>
          <w:sz w:val="22"/>
          <w:szCs w:val="22"/>
          <w:color w:val="auto"/>
        </w:rPr>
        <w:t>Dividends and dividend equivalents may be credited in respect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covered by a Stock Award (other than Options and SARs), as determined by the Board and contained in the applicable Award Agreement. At the sole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discretion of the Board, such dividends and dividend equivalents may be converted into additional shares of Common Stock covered by the Stock Award in such manner as determined by the Board. Any additional shares of Common Stock or cash payments covered by the Stock Award credited by reason of such dividends or dividend equivalents will be subject to all of the same terms and conditions of the underlying Award Agreement to which they relate. Notwithstanding anything to the contrary in this Plan or any Award Agreement, dividends and dividend equivalents shall not be paid in respect of shares of Common Stock covered by a Stock Award until such shares of Common Stock vest pursuant to the applicable Award Agreement.</w:t>
      </w:r>
    </w:p>
    <w:p>
      <w:pPr>
        <w:spacing w:after="0" w:line="167"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8"/>
        <w:spacing w:after="0" w:line="238" w:lineRule="auto"/>
        <w:tabs>
          <w:tab w:leader="none" w:pos="509"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Capitalization Adjustments</w:t>
      </w:r>
      <w:r>
        <w:rPr>
          <w:rFonts w:ascii="Times New Roman" w:cs="Times New Roman" w:eastAsia="Times New Roman" w:hAnsi="Times New Roman"/>
          <w:sz w:val="22"/>
          <w:szCs w:val="22"/>
          <w:color w:val="auto"/>
        </w:rPr>
        <w:t>. In the event of a Capitalization Adjustment, the Board will appropriately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Except as otherwise provided in the Stock Award Agreement, in the event of a dissolution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509"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Transaction. </w:t>
      </w:r>
      <w:r>
        <w:rPr>
          <w:rFonts w:ascii="Times New Roman" w:cs="Times New Roman" w:eastAsia="Times New Roman" w:hAnsi="Times New Roman"/>
          <w:sz w:val="22"/>
          <w:szCs w:val="22"/>
          <w:color w:val="auto"/>
        </w:rPr>
        <w:t>The following provisions will apply to Stock Awards in the event of a Corporate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Stock Awards, contingent upon the closing or completion of the Corporate Transaction:</w:t>
      </w:r>
    </w:p>
    <w:p>
      <w:pPr>
        <w:spacing w:after="0" w:line="181" w:lineRule="exact"/>
        <w:rPr>
          <w:sz w:val="20"/>
          <w:szCs w:val="20"/>
          <w:color w:val="auto"/>
        </w:rPr>
      </w:pPr>
    </w:p>
    <w:p>
      <w:pPr>
        <w:jc w:val="both"/>
        <w:ind w:firstLine="8"/>
        <w:spacing w:after="0" w:line="261" w:lineRule="auto"/>
        <w:tabs>
          <w:tab w:leader="none" w:pos="509"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jc w:val="both"/>
        <w:ind w:firstLine="8"/>
        <w:spacing w:after="0" w:line="244" w:lineRule="auto"/>
        <w:tabs>
          <w:tab w:leader="none" w:pos="509"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39" w:lineRule="auto"/>
        <w:tabs>
          <w:tab w:leader="none" w:pos="509"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180" w:lineRule="exact"/>
        <w:rPr>
          <w:rFonts w:ascii="Times New Roman" w:cs="Times New Roman" w:eastAsia="Times New Roman" w:hAnsi="Times New Roman"/>
          <w:sz w:val="22"/>
          <w:szCs w:val="22"/>
          <w:b w:val="1"/>
          <w:bCs w:val="1"/>
          <w:color w:val="auto"/>
        </w:rPr>
      </w:pPr>
    </w:p>
    <w:p>
      <w:pPr>
        <w:ind w:right="20" w:firstLine="8"/>
        <w:spacing w:after="0" w:line="258" w:lineRule="auto"/>
        <w:tabs>
          <w:tab w:leader="none" w:pos="509"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arrange for the lapse, in whole or in part, of any reacquisition or repurchase rights held by the Company with respect to the Stock Award;</w:t>
      </w:r>
    </w:p>
    <w:p>
      <w:pPr>
        <w:spacing w:after="0" w:line="158" w:lineRule="exact"/>
        <w:rPr>
          <w:rFonts w:ascii="Times New Roman" w:cs="Times New Roman" w:eastAsia="Times New Roman" w:hAnsi="Times New Roman"/>
          <w:sz w:val="22"/>
          <w:szCs w:val="22"/>
          <w:b w:val="1"/>
          <w:bCs w:val="1"/>
          <w:color w:val="auto"/>
        </w:rPr>
      </w:pPr>
    </w:p>
    <w:p>
      <w:pPr>
        <w:jc w:val="both"/>
        <w:ind w:firstLine="8"/>
        <w:spacing w:after="0" w:line="244" w:lineRule="auto"/>
        <w:tabs>
          <w:tab w:leader="none" w:pos="509"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509"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cancel or arrange for the cancellation of the Stock Award, to the extent not vested or not exercised prior to the effective time of the Corporate Transaction, in exchange for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w:t>
      </w:r>
    </w:p>
    <w:p>
      <w:pPr>
        <w:spacing w:after="0" w:line="176" w:lineRule="exact"/>
        <w:rPr>
          <w:rFonts w:ascii="Times New Roman" w:cs="Times New Roman" w:eastAsia="Times New Roman" w:hAnsi="Times New Roman"/>
          <w:sz w:val="22"/>
          <w:szCs w:val="22"/>
          <w:b w:val="1"/>
          <w:bCs w:val="1"/>
          <w:color w:val="auto"/>
        </w:rPr>
      </w:pPr>
    </w:p>
    <w:p>
      <w:pPr>
        <w:ind w:right="20" w:firstLine="8"/>
        <w:spacing w:after="0" w:line="258" w:lineRule="auto"/>
        <w:tabs>
          <w:tab w:leader="none" w:pos="509"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54" w:lineRule="exact"/>
        <w:rPr>
          <w:sz w:val="20"/>
          <w:szCs w:val="20"/>
          <w:color w:val="auto"/>
        </w:rPr>
      </w:pPr>
    </w:p>
    <w:p>
      <w:pPr>
        <w:jc w:val="both"/>
        <w:ind w:firstLine="8"/>
        <w:spacing w:after="0" w:line="241" w:lineRule="auto"/>
        <w:tabs>
          <w:tab w:leader="none" w:pos="509"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A Stock Award may be subject to additional acceleration of vesting and exercisability upon or after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2"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Board may suspend or terminate the Plan at any time. No Incentive Stock Options may be granted after the tenth anniversary of the earlier of (i) the date the Plan is adopted by the Board (the “</w:t>
      </w:r>
      <w:r>
        <w:rPr>
          <w:rFonts w:ascii="Times New Roman" w:cs="Times New Roman" w:eastAsia="Times New Roman" w:hAnsi="Times New Roman"/>
          <w:sz w:val="22"/>
          <w:szCs w:val="22"/>
          <w:b w:val="1"/>
          <w:bCs w:val="1"/>
          <w:i w:val="1"/>
          <w:iCs w:val="1"/>
          <w:color w:val="auto"/>
        </w:rPr>
        <w:t>Adoption Date</w:t>
      </w:r>
      <w:r>
        <w:rPr>
          <w:rFonts w:ascii="Times New Roman" w:cs="Times New Roman" w:eastAsia="Times New Roman" w:hAnsi="Times New Roman"/>
          <w:sz w:val="22"/>
          <w:szCs w:val="22"/>
          <w:color w:val="auto"/>
        </w:rPr>
        <w:t>”), and (ii) the date the Plan is approved by the stockholders of the Company. No Awards may be granted under the Plan while the Plan is suspended or after it is terminated.</w:t>
      </w:r>
    </w:p>
    <w:p>
      <w:pPr>
        <w:spacing w:after="0" w:line="176"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xistence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will become effective on the Effective Date.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ind w:left="520" w:hanging="512"/>
        <w:spacing w:after="0"/>
        <w:tabs>
          <w:tab w:leader="none" w:pos="5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law of the State of Delaware will govern all questions concerning the construction, validity and interpretation of this Plan, without regard to that state’s conflict of laws rules.</w:t>
      </w:r>
    </w:p>
    <w:p>
      <w:pPr>
        <w:spacing w:after="0" w:line="154"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in the Plan, the following definitions will apply to the capitalized terms indicated below:</w:t>
      </w:r>
    </w:p>
    <w:p>
      <w:pPr>
        <w:spacing w:after="0" w:line="204" w:lineRule="exact"/>
        <w:rPr>
          <w:sz w:val="20"/>
          <w:szCs w:val="20"/>
          <w:color w:val="auto"/>
        </w:rPr>
      </w:pPr>
    </w:p>
    <w:p>
      <w:pPr>
        <w:jc w:val="both"/>
        <w:ind w:firstLine="8"/>
        <w:spacing w:after="0" w:line="247" w:lineRule="auto"/>
        <w:tabs>
          <w:tab w:leader="none" w:pos="509"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63" w:lineRule="exact"/>
        <w:rPr>
          <w:rFonts w:ascii="Times New Roman" w:cs="Times New Roman" w:eastAsia="Times New Roman" w:hAnsi="Times New Roman"/>
          <w:sz w:val="22"/>
          <w:szCs w:val="22"/>
          <w:b w:val="1"/>
          <w:bCs w:val="1"/>
          <w:color w:val="auto"/>
        </w:rPr>
      </w:pPr>
    </w:p>
    <w:p>
      <w:pPr>
        <w:jc w:val="both"/>
        <w:ind w:firstLine="8"/>
        <w:spacing w:after="0" w:line="239" w:lineRule="auto"/>
        <w:tabs>
          <w:tab w:leader="none" w:pos="509"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Law</w:t>
      </w:r>
      <w:r>
        <w:rPr>
          <w:rFonts w:ascii="Times New Roman" w:cs="Times New Roman" w:eastAsia="Times New Roman" w:hAnsi="Times New Roman"/>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1"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means a Stock Award or a Performance Cash Award.</w:t>
      </w:r>
    </w:p>
    <w:p>
      <w:pPr>
        <w:spacing w:after="0" w:line="206"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means a written agreement between the Company and a Participant evidencing the terms and conditions of an Award.</w:t>
      </w:r>
    </w:p>
    <w:p>
      <w:pPr>
        <w:spacing w:after="0" w:line="145"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b w:val="1"/>
          <w:bCs w:val="1"/>
          <w:color w:val="auto"/>
        </w:rPr>
      </w:pPr>
    </w:p>
    <w:p>
      <w:pPr>
        <w:jc w:val="both"/>
        <w:ind w:firstLine="8"/>
        <w:spacing w:after="0" w:line="249" w:lineRule="auto"/>
        <w:tabs>
          <w:tab w:leader="none" w:pos="509"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Capitalization Adjustment</w:t>
      </w:r>
      <w:r>
        <w:rPr>
          <w:rFonts w:ascii="Times New Roman" w:cs="Times New Roman" w:eastAsia="Times New Roman" w:hAnsi="Times New Roman"/>
          <w:sz w:val="21"/>
          <w:szCs w:val="21"/>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3" w:lineRule="exact"/>
        <w:rPr>
          <w:rFonts w:ascii="Times New Roman" w:cs="Times New Roman" w:eastAsia="Times New Roman" w:hAnsi="Times New Roman"/>
          <w:sz w:val="21"/>
          <w:szCs w:val="21"/>
          <w:b w:val="1"/>
          <w:bCs w:val="1"/>
          <w:color w:val="auto"/>
        </w:rPr>
      </w:pPr>
    </w:p>
    <w:p>
      <w:pPr>
        <w:ind w:firstLine="8"/>
        <w:spacing w:after="0" w:line="264" w:lineRule="auto"/>
        <w:tabs>
          <w:tab w:leader="none" w:pos="509"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each and every class of common stock of the Company, regardless of the number of votes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w:t>
      </w:r>
    </w:p>
    <w:p>
      <w:pPr>
        <w:spacing w:after="0" w:line="145" w:lineRule="exact"/>
        <w:rPr>
          <w:rFonts w:ascii="Times New Roman" w:cs="Times New Roman" w:eastAsia="Times New Roman" w:hAnsi="Times New Roman"/>
          <w:sz w:val="22"/>
          <w:szCs w:val="22"/>
          <w:b w:val="1"/>
          <w:bCs w:val="1"/>
          <w:color w:val="auto"/>
        </w:rPr>
      </w:pPr>
    </w:p>
    <w:p>
      <w:pPr>
        <w:jc w:val="both"/>
        <w:ind w:firstLine="8"/>
        <w:spacing w:after="0" w:line="239" w:lineRule="auto"/>
        <w:tabs>
          <w:tab w:leader="none" w:pos="509"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will have the meaning ascribed to such term in any written agreement between the Participant and the Company defining such term and, in the absence of such agreement, such term means, with respect to a Participant, the occurrence of any one or more of the following events: (i) the Participant’s commission of any felony or any crime involving fraud, dishonesty or moral turpitude; (ii) the Participant’s attempted commission of or participation in a fraud or act of dishonesty against the Company that results in (or might have reasonably resulted in) material</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2" w:name="page143"/>
    <w:bookmarkEnd w:id="142"/>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harm to the business of the Company; (iii) the Participant’s intentional, material violation of any contract or agreement between the Participant and the Company or any statutory duty that the Participant owes to the Company; or (iv) the Participant’s unauthorized use or disclosure of the Company’s confidential information or trade secrets; or (v) the Participant’s conduct that constitutes gross insubordination, incompetence or habitual neglect of duties and that results in (or might have reasonably resulted in) material harm to the business of the Company.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the Participant for any other purpose.</w:t>
      </w:r>
    </w:p>
    <w:p>
      <w:pPr>
        <w:spacing w:after="0" w:line="177" w:lineRule="exact"/>
        <w:rPr>
          <w:sz w:val="20"/>
          <w:szCs w:val="20"/>
          <w:color w:val="auto"/>
        </w:rPr>
      </w:pPr>
    </w:p>
    <w:p>
      <w:pPr>
        <w:ind w:firstLine="8"/>
        <w:spacing w:after="0" w:line="264" w:lineRule="auto"/>
        <w:tabs>
          <w:tab w:leader="none" w:pos="509"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1"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Exchange Act Person becomes the Owner, directly or indirectly, of securities of the Company representing more than</w:t>
      </w:r>
    </w:p>
    <w:p>
      <w:pPr>
        <w:spacing w:after="0" w:line="25" w:lineRule="exact"/>
        <w:rPr>
          <w:rFonts w:ascii="Times New Roman" w:cs="Times New Roman" w:eastAsia="Times New Roman" w:hAnsi="Times New Roman"/>
          <w:sz w:val="21"/>
          <w:szCs w:val="21"/>
          <w:b w:val="1"/>
          <w:bCs w:val="1"/>
          <w:color w:val="auto"/>
        </w:rPr>
      </w:pPr>
    </w:p>
    <w:p>
      <w:pPr>
        <w:jc w:val="both"/>
        <w:spacing w:after="0" w:line="24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1"/>
          <w:szCs w:val="21"/>
          <w:b w:val="1"/>
          <w:bCs w:val="1"/>
          <w:i w:val="1"/>
          <w:iCs w:val="1"/>
          <w:color w:val="auto"/>
        </w:rPr>
        <w:t>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exceeds the designated percentage threshold of the outstanding voting securities as a result of a repurchase or other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3" w:lineRule="exact"/>
        <w:rPr>
          <w:rFonts w:ascii="Times New Roman" w:cs="Times New Roman" w:eastAsia="Times New Roman" w:hAnsi="Times New Roman"/>
          <w:sz w:val="21"/>
          <w:szCs w:val="21"/>
          <w:b w:val="1"/>
          <w:bCs w:val="1"/>
          <w:color w:val="auto"/>
        </w:rPr>
      </w:pPr>
    </w:p>
    <w:p>
      <w:pPr>
        <w:jc w:val="both"/>
        <w:ind w:firstLine="8"/>
        <w:spacing w:after="0" w:line="235" w:lineRule="auto"/>
        <w:tabs>
          <w:tab w:leader="none" w:pos="509"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3" w:lineRule="exact"/>
        <w:rPr>
          <w:rFonts w:ascii="Times New Roman" w:cs="Times New Roman" w:eastAsia="Times New Roman" w:hAnsi="Times New Roman"/>
          <w:sz w:val="22"/>
          <w:szCs w:val="22"/>
          <w:b w:val="1"/>
          <w:bCs w:val="1"/>
          <w:color w:val="auto"/>
        </w:rPr>
      </w:pPr>
    </w:p>
    <w:p>
      <w:pPr>
        <w:jc w:val="both"/>
        <w:ind w:right="20" w:firstLine="8"/>
        <w:spacing w:after="0" w:line="244" w:lineRule="auto"/>
        <w:tabs>
          <w:tab w:leader="none" w:pos="509"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67" w:lineRule="exact"/>
        <w:rPr>
          <w:sz w:val="20"/>
          <w:szCs w:val="20"/>
          <w:color w:val="auto"/>
        </w:rPr>
      </w:pPr>
    </w:p>
    <w:p>
      <w:pPr>
        <w:jc w:val="both"/>
        <w:ind w:firstLine="8"/>
        <w:spacing w:after="0" w:line="239" w:lineRule="auto"/>
        <w:tabs>
          <w:tab w:leader="none" w:pos="509"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individuals who, on the date the Plan is adopted by the Board, are members of the Board (the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xml:space="preserve">”) cease for any reason to constitute at least a majority of the members of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7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 xml:space="preserve">For purposes of determining voting power under the term Change in Control, voting power shall be calculated by assuming the conversion of all equity securities convertible (immediately or at some future time) into shares entitled to vote, but not assuming the exercise of any warrant or right to subscribe to or purchase those shares. In addition, (A) the term Change in Control will not include a sale of assets, merger or other transaction effected exclusively for the purpose of changing the domicile of the Company, (B) the term Change in Control will not include a change in the voting power of any one or more stockholders as a result of the conversion of any class of the Company’s securities into another class of the Company’s securities having a different number of votes per share pursuant to the conversion provisions set forth in the Company’s Amended and Restated Certificate of Incorporation, and (C)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no definition of Change in Control or any analogous term is set forth in such an individual written agreement, the foregoing definition will apply.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70" w:lineRule="exact"/>
        <w:rPr>
          <w:sz w:val="20"/>
          <w:szCs w:val="20"/>
          <w:color w:val="auto"/>
        </w:rPr>
      </w:pPr>
    </w:p>
    <w:p>
      <w:pPr>
        <w:ind w:right="20" w:firstLine="8"/>
        <w:spacing w:after="0" w:line="264" w:lineRule="auto"/>
        <w:tabs>
          <w:tab w:leader="none" w:pos="509"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including any applicable regulations and guidance thereunder.</w:t>
      </w:r>
    </w:p>
    <w:p>
      <w:pPr>
        <w:spacing w:after="0" w:line="145"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a committee of one or more Directors to whom authority has been delegated by the Board in accordance with Section 2(c).</w:t>
      </w:r>
    </w:p>
    <w:p>
      <w:pPr>
        <w:spacing w:after="0" w:line="145"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common stock of the Company, having one vote per share.</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Kyntra Bio, Inc., a Delaware corporation.</w:t>
      </w:r>
    </w:p>
    <w:p>
      <w:pPr>
        <w:spacing w:after="0" w:line="206"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09"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4" w:lineRule="exact"/>
        <w:rPr>
          <w:sz w:val="20"/>
          <w:szCs w:val="20"/>
          <w:color w:val="auto"/>
        </w:rPr>
      </w:pPr>
    </w:p>
    <w:p>
      <w:pPr>
        <w:jc w:val="both"/>
        <w:ind w:firstLine="8"/>
        <w:spacing w:after="0" w:line="233" w:lineRule="auto"/>
        <w:tabs>
          <w:tab w:leader="none" w:pos="509"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Continuous Service</w:t>
      </w:r>
      <w:r>
        <w:rPr>
          <w:rFonts w:ascii="Times New Roman" w:cs="Times New Roman" w:eastAsia="Times New Roman" w:hAnsi="Times New Roman"/>
          <w:sz w:val="22"/>
          <w:szCs w:val="22"/>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71"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1" w:lineRule="exact"/>
        <w:rPr>
          <w:sz w:val="20"/>
          <w:szCs w:val="20"/>
          <w:color w:val="auto"/>
        </w:rPr>
      </w:pPr>
    </w:p>
    <w:p>
      <w:pPr>
        <w:ind w:right="20" w:firstLine="8"/>
        <w:spacing w:after="0" w:line="258" w:lineRule="auto"/>
        <w:tabs>
          <w:tab w:leader="none" w:pos="509"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sale or other disposition of all or substantially all, as determined by the Board, in its sole discretion, of the consolidated assets of the Company and its Subsidiaries;</w:t>
      </w:r>
    </w:p>
    <w:p>
      <w:pPr>
        <w:spacing w:after="0" w:line="158"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sale or other disposition of at least 90% of the outstanding securities of the Company;</w:t>
      </w:r>
    </w:p>
    <w:p>
      <w:pPr>
        <w:spacing w:after="0" w:line="206" w:lineRule="exact"/>
        <w:rPr>
          <w:rFonts w:ascii="Times New Roman" w:cs="Times New Roman" w:eastAsia="Times New Roman" w:hAnsi="Times New Roman"/>
          <w:sz w:val="22"/>
          <w:szCs w:val="22"/>
          <w:b w:val="1"/>
          <w:bCs w:val="1"/>
          <w:color w:val="auto"/>
        </w:rPr>
      </w:pPr>
    </w:p>
    <w:p>
      <w:pPr>
        <w:ind w:firstLine="8"/>
        <w:spacing w:after="0" w:line="258" w:lineRule="auto"/>
        <w:tabs>
          <w:tab w:leader="none" w:pos="509"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merger, consolidation or similar transaction following which the Company is not the surviving corporation; or</w:t>
      </w:r>
    </w:p>
    <w:p>
      <w:pPr>
        <w:spacing w:after="0" w:line="158" w:lineRule="exact"/>
        <w:rPr>
          <w:rFonts w:ascii="Times New Roman" w:cs="Times New Roman" w:eastAsia="Times New Roman" w:hAnsi="Times New Roman"/>
          <w:sz w:val="22"/>
          <w:szCs w:val="22"/>
          <w:b w:val="1"/>
          <w:bCs w:val="1"/>
          <w:color w:val="auto"/>
        </w:rPr>
      </w:pPr>
    </w:p>
    <w:p>
      <w:pPr>
        <w:jc w:val="both"/>
        <w:ind w:firstLine="8"/>
        <w:spacing w:after="0" w:line="239" w:lineRule="auto"/>
        <w:tabs>
          <w:tab w:leader="none" w:pos="509"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To the extent required for compliance with Section 409A of the Code, in no event will an event be deemed a Corporate Transaction if such transaction is not also a “change in the ownership or effective control of” the Company or “a change in the ownership of a substantial portion of the assets of” the Company as determined under Treasury Regulation Section 1.409A-3(i)</w:t>
      </w:r>
    </w:p>
    <w:p>
      <w:pPr>
        <w:spacing w:after="0"/>
        <w:rPr>
          <w:sz w:val="20"/>
          <w:szCs w:val="20"/>
          <w:color w:val="auto"/>
        </w:rPr>
      </w:pPr>
      <w:r>
        <w:rPr>
          <w:rFonts w:ascii="Times New Roman" w:cs="Times New Roman" w:eastAsia="Times New Roman" w:hAnsi="Times New Roman"/>
          <w:sz w:val="22"/>
          <w:szCs w:val="22"/>
          <w:color w:val="auto"/>
        </w:rPr>
        <w:t>(5) (without regard to any alternative definition thereunder).</w:t>
      </w:r>
    </w:p>
    <w:p>
      <w:pPr>
        <w:spacing w:after="0" w:line="176"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b w:val="1"/>
          <w:bCs w:val="1"/>
          <w:color w:val="auto"/>
        </w:rPr>
      </w:pPr>
    </w:p>
    <w:p>
      <w:pPr>
        <w:jc w:val="both"/>
        <w:ind w:firstLine="8"/>
        <w:spacing w:after="0" w:line="251" w:lineRule="auto"/>
        <w:tabs>
          <w:tab w:leader="none" w:pos="509"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w:t>
      </w:r>
    </w:p>
    <w:p>
      <w:pPr>
        <w:spacing w:after="0" w:line="1" w:lineRule="exact"/>
        <w:rPr>
          <w:rFonts w:ascii="Times New Roman" w:cs="Times New Roman" w:eastAsia="Times New Roman" w:hAnsi="Times New Roman"/>
          <w:sz w:val="21"/>
          <w:szCs w:val="21"/>
          <w:b w:val="1"/>
          <w:bCs w:val="1"/>
          <w:color w:val="auto"/>
        </w:rPr>
      </w:pPr>
    </w:p>
    <w:p>
      <w:pPr>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(2)(c)(i) of the Code, and will be determined by the Board on the basis of such medical evidence as the Board deems warranted under the circumstances.</w:t>
      </w:r>
    </w:p>
    <w:p>
      <w:pPr>
        <w:spacing w:after="0" w:line="172" w:lineRule="exact"/>
        <w:rPr>
          <w:rFonts w:ascii="Times New Roman" w:cs="Times New Roman" w:eastAsia="Times New Roman" w:hAnsi="Times New Roman"/>
          <w:sz w:val="21"/>
          <w:szCs w:val="21"/>
          <w:b w:val="1"/>
          <w:bCs w:val="1"/>
          <w:color w:val="auto"/>
        </w:rPr>
      </w:pPr>
    </w:p>
    <w:p>
      <w:pPr>
        <w:ind w:left="520" w:hanging="512"/>
        <w:spacing w:after="0"/>
        <w:tabs>
          <w:tab w:leader="none" w:pos="52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means June 5, 2024.</w:t>
      </w:r>
    </w:p>
    <w:p>
      <w:pPr>
        <w:spacing w:after="0" w:line="206" w:lineRule="exact"/>
        <w:rPr>
          <w:rFonts w:ascii="Times New Roman" w:cs="Times New Roman" w:eastAsia="Times New Roman" w:hAnsi="Times New Roman"/>
          <w:sz w:val="22"/>
          <w:szCs w:val="22"/>
          <w:b w:val="1"/>
          <w:bCs w:val="1"/>
          <w:color w:val="auto"/>
        </w:rPr>
      </w:pPr>
    </w:p>
    <w:p>
      <w:pPr>
        <w:ind w:right="20" w:firstLine="8"/>
        <w:spacing w:after="0" w:line="264" w:lineRule="auto"/>
        <w:tabs>
          <w:tab w:leader="none" w:pos="509"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45"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means a corporation, partnership, limited liability company or other entity.</w:t>
      </w:r>
    </w:p>
    <w:p>
      <w:pPr>
        <w:spacing w:after="0" w:line="206"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5"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 Person</w:t>
      </w:r>
      <w:r>
        <w:rPr>
          <w:rFonts w:ascii="Times New Roman" w:cs="Times New Roman" w:eastAsia="Times New Roman" w:hAnsi="Times New Roman"/>
          <w:sz w:val="22"/>
          <w:szCs w:val="22"/>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3"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the value of the Common Stock determined as follows:</w:t>
      </w:r>
    </w:p>
    <w:p>
      <w:pPr>
        <w:spacing w:after="0" w:line="212" w:lineRule="exact"/>
        <w:rPr>
          <w:sz w:val="20"/>
          <w:szCs w:val="20"/>
          <w:color w:val="auto"/>
        </w:rPr>
      </w:pPr>
    </w:p>
    <w:p>
      <w:pPr>
        <w:jc w:val="both"/>
        <w:ind w:firstLine="8"/>
        <w:spacing w:after="0" w:line="239" w:lineRule="auto"/>
        <w:tabs>
          <w:tab w:leader="none" w:pos="509"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ind w:firstLine="8"/>
        <w:spacing w:after="0" w:line="244" w:lineRule="auto"/>
        <w:tabs>
          <w:tab w:leader="none" w:pos="509"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3" w:lineRule="exact"/>
        <w:rPr>
          <w:rFonts w:ascii="Times New Roman" w:cs="Times New Roman" w:eastAsia="Times New Roman" w:hAnsi="Times New Roman"/>
          <w:sz w:val="22"/>
          <w:szCs w:val="22"/>
          <w:b w:val="1"/>
          <w:bCs w:val="1"/>
          <w:color w:val="auto"/>
        </w:rPr>
      </w:pPr>
    </w:p>
    <w:p>
      <w:pPr>
        <w:ind w:firstLine="8"/>
        <w:spacing w:after="0" w:line="258" w:lineRule="auto"/>
        <w:tabs>
          <w:tab w:leader="none" w:pos="509"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the Fair Market Value will be determined by the Board in good faith and in a manner that complies with Sections 409A and 422 of the Code.</w:t>
      </w:r>
    </w:p>
    <w:p>
      <w:pPr>
        <w:spacing w:after="0" w:line="152" w:lineRule="exact"/>
        <w:rPr>
          <w:sz w:val="20"/>
          <w:szCs w:val="20"/>
          <w:color w:val="auto"/>
        </w:rPr>
      </w:pPr>
    </w:p>
    <w:p>
      <w:pPr>
        <w:jc w:val="both"/>
        <w:ind w:firstLine="8"/>
        <w:spacing w:after="0" w:line="236" w:lineRule="auto"/>
        <w:tabs>
          <w:tab w:leader="none" w:pos="509"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Body</w:t>
      </w:r>
      <w:r>
        <w:rPr>
          <w:rFonts w:ascii="Times New Roman" w:cs="Times New Roman" w:eastAsia="Times New Roman" w:hAnsi="Times New Roman"/>
          <w:sz w:val="22"/>
          <w:szCs w:val="22"/>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75"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means an option granted pursuant to Section 5 of the Plan that is intended to be, and qualifies as, an “incentive stock option” within the meaning of Section 422 of the Code.</w:t>
      </w:r>
    </w:p>
    <w:p>
      <w:pPr>
        <w:spacing w:after="0" w:line="145" w:lineRule="exact"/>
        <w:rPr>
          <w:sz w:val="20"/>
          <w:szCs w:val="20"/>
          <w:color w:val="auto"/>
        </w:rPr>
      </w:pPr>
    </w:p>
    <w:p>
      <w:pPr>
        <w:jc w:val="both"/>
        <w:ind w:firstLine="8"/>
        <w:spacing w:after="0" w:line="236" w:lineRule="auto"/>
        <w:tabs>
          <w:tab w:leader="none" w:pos="509"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2"/>
          <w:szCs w:val="22"/>
          <w:b w:val="1"/>
          <w:bCs w:val="1"/>
          <w:i w:val="1"/>
          <w:iCs w:val="1"/>
          <w:color w:val="auto"/>
        </w:rPr>
        <w:t>Regulation S-K</w:t>
      </w:r>
      <w:r>
        <w:rPr>
          <w:rFonts w:ascii="Times New Roman" w:cs="Times New Roman" w:eastAsia="Times New Roman" w:hAnsi="Times New Roman"/>
          <w:sz w:val="22"/>
          <w:szCs w:val="22"/>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5" w:lineRule="exact"/>
        <w:rPr>
          <w:rFonts w:ascii="Times New Roman" w:cs="Times New Roman" w:eastAsia="Times New Roman" w:hAnsi="Times New Roman"/>
          <w:sz w:val="22"/>
          <w:szCs w:val="22"/>
          <w:b w:val="1"/>
          <w:bCs w:val="1"/>
          <w:color w:val="auto"/>
        </w:rPr>
      </w:pPr>
    </w:p>
    <w:p>
      <w:pPr>
        <w:ind w:right="20" w:firstLine="8"/>
        <w:spacing w:after="0" w:line="264" w:lineRule="auto"/>
        <w:tabs>
          <w:tab w:leader="none" w:pos="509"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color w:val="auto"/>
        </w:rPr>
        <w:t>” means any option granted pursuant to Section 5 of the Plan that does not qualify as an Incentive Stock Option.</w:t>
      </w:r>
    </w:p>
    <w:p>
      <w:pPr>
        <w:spacing w:after="0" w:line="145"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w:t>
      </w:r>
    </w:p>
    <w:p>
      <w:pPr>
        <w:spacing w:after="0" w:line="206" w:lineRule="exact"/>
        <w:rPr>
          <w:rFonts w:ascii="Times New Roman" w:cs="Times New Roman" w:eastAsia="Times New Roman" w:hAnsi="Times New Roman"/>
          <w:sz w:val="22"/>
          <w:szCs w:val="22"/>
          <w:b w:val="1"/>
          <w:bCs w:val="1"/>
          <w:color w:val="auto"/>
        </w:rPr>
      </w:pPr>
    </w:p>
    <w:p>
      <w:pPr>
        <w:ind w:right="20" w:firstLine="8"/>
        <w:spacing w:after="0" w:line="264" w:lineRule="auto"/>
        <w:tabs>
          <w:tab w:leader="none" w:pos="509"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Incentive Stock Option or a Nonstatutory Stock Option to purchase shares of Common Stock granted pursuant to the Plan.</w:t>
      </w:r>
    </w:p>
    <w:p>
      <w:pPr>
        <w:spacing w:after="0" w:line="145" w:lineRule="exact"/>
        <w:rPr>
          <w:rFonts w:ascii="Times New Roman" w:cs="Times New Roman" w:eastAsia="Times New Roman" w:hAnsi="Times New Roman"/>
          <w:sz w:val="22"/>
          <w:szCs w:val="22"/>
          <w:b w:val="1"/>
          <w:bCs w:val="1"/>
          <w:color w:val="auto"/>
        </w:rPr>
      </w:pPr>
    </w:p>
    <w:p>
      <w:pPr>
        <w:ind w:right="20" w:firstLine="8"/>
        <w:spacing w:after="0" w:line="264" w:lineRule="auto"/>
        <w:tabs>
          <w:tab w:leader="none" w:pos="509"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Agreement</w:t>
      </w:r>
      <w:r>
        <w:rPr>
          <w:rFonts w:ascii="Times New Roman" w:cs="Times New Roman" w:eastAsia="Times New Roman" w:hAnsi="Times New Roman"/>
          <w:sz w:val="22"/>
          <w:szCs w:val="22"/>
          <w:color w:val="auto"/>
        </w:rPr>
        <w:t>” means a written agreement between the Company and an Optionholder evidencing the terms and conditions of an Option grant. Each Option Agreement will be subject to the terms and conditions of the Plan.</w:t>
      </w:r>
    </w:p>
    <w:p>
      <w:pPr>
        <w:spacing w:after="0" w:line="145"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Optionholder</w:t>
      </w:r>
      <w:r>
        <w:rPr>
          <w:rFonts w:ascii="Times New Roman" w:cs="Times New Roman" w:eastAsia="Times New Roman" w:hAnsi="Times New Roman"/>
          <w:sz w:val="22"/>
          <w:szCs w:val="22"/>
          <w:color w:val="auto"/>
        </w:rPr>
        <w:t>” means a person to whom an Option is granted pursuant to the Plan or, if applicable, such other person who holds an outstanding Option.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ind w:right="20" w:firstLine="8"/>
        <w:spacing w:after="0" w:line="264" w:lineRule="auto"/>
        <w:tabs>
          <w:tab w:leader="none" w:pos="509"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 Award</w:t>
      </w:r>
      <w:r>
        <w:rPr>
          <w:rFonts w:ascii="Times New Roman" w:cs="Times New Roman" w:eastAsia="Times New Roman" w:hAnsi="Times New Roman"/>
          <w:sz w:val="22"/>
          <w:szCs w:val="22"/>
          <w:color w:val="auto"/>
        </w:rPr>
        <w:t>” means an award based in whole or in part by reference to the Common Stock which is granted pursuant to the terms and conditions of Section 6(d).</w:t>
      </w:r>
    </w:p>
    <w:p>
      <w:pPr>
        <w:spacing w:after="0" w:line="145"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09"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 Award Agreement</w:t>
      </w:r>
      <w:r>
        <w:rPr>
          <w:rFonts w:ascii="Times New Roman" w:cs="Times New Roman" w:eastAsia="Times New Roman" w:hAnsi="Times New Roman"/>
          <w:sz w:val="22"/>
          <w:szCs w:val="22"/>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Ownership</w:t>
      </w:r>
      <w:r>
        <w:rPr>
          <w:rFonts w:ascii="Times New Roman" w:cs="Times New Roman" w:eastAsia="Times New Roman" w:hAnsi="Times New Roman"/>
          <w:sz w:val="22"/>
          <w:szCs w:val="22"/>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1"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 person to whom an Award is granted pursuant to the Plan or, if applicable, such other person who holds an outstanding Stock Award.</w:t>
      </w:r>
    </w:p>
    <w:p>
      <w:pPr>
        <w:spacing w:after="0" w:line="145"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Cash Award</w:t>
      </w:r>
      <w:r>
        <w:rPr>
          <w:rFonts w:ascii="Times New Roman" w:cs="Times New Roman" w:eastAsia="Times New Roman" w:hAnsi="Times New Roman"/>
          <w:sz w:val="22"/>
          <w:szCs w:val="22"/>
          <w:color w:val="auto"/>
        </w:rPr>
        <w:t>” means an award of cash granted pursuant to the terms and conditions of Section 6(c)(ii).</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(mm)</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Criteria</w:t>
      </w:r>
      <w:r>
        <w:rPr>
          <w:rFonts w:ascii="Times New Roman" w:cs="Times New Roman" w:eastAsia="Times New Roman" w:hAnsi="Times New Roman"/>
          <w:sz w:val="21"/>
          <w:szCs w:val="21"/>
          <w:color w:val="auto"/>
        </w:rPr>
        <w:t>” means the one or more criteria that the Committee will select for purposes of establishing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Goals for a Performance Period. The Performance Criteria that will be used to establish such Performance Goals may be based on any one of, or combination of, the following as determined by the Committee: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total stockholder return; (ix) return on equity or average stockholder’s equity; (x) return on assets, investment, or capital employed; (xi) stock price; (xii) margin (including gross margin); (xiii) income (before or after taxes);</w:t>
      </w:r>
    </w:p>
    <w:p>
      <w:pPr>
        <w:spacing w:after="0" w:line="5" w:lineRule="exact"/>
        <w:rPr>
          <w:sz w:val="20"/>
          <w:szCs w:val="20"/>
          <w:color w:val="auto"/>
        </w:rPr>
      </w:pPr>
    </w:p>
    <w:p>
      <w:pPr>
        <w:jc w:val="both"/>
        <w:ind w:firstLine="8"/>
        <w:spacing w:after="0" w:line="232" w:lineRule="auto"/>
        <w:tabs>
          <w:tab w:leader="none" w:pos="47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 (xv) operating income after taxes; (xvi) pre-tax profit; (xvii) operating cash flow; (xviii) sales or revenue targets; (xix) increases in revenue or product revenue; (xx) expenses and cost reduction goals; (xxi) improvement in or attainment of working capital levels; (xxii) economic value added (or an equivalent metric); (xxiii) market share; (xxiv) cash flow; (xxv) cash flow per share; (xxvi) share price performance; (xxvii) debt reduction; (xxviii) implementation or completion of projects or processes; (xxix) employee retention; (xxx) stockholders’ equity; (xxxi) capital expenditures; (xxxii) debt levels; (xxxiii) operating profit or net operating profit; (xxxiv) workforce diversity; (xxxv) growth of net income or operating income; (xxxvi) billings; (xxxvii) bookings; (xxxviii) initiation or completion of phases of clinical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48" w:name="page149"/>
    <w:bookmarkEnd w:id="148"/>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trials and/or studies by specified dates; (xxxix) patient enrollment rates, (xxxx) budget management; (xxxxi) regulatory body approval with respect to products, studies and/or trials; (xxxxii) commercial launch of products; and (xxxxiii) other measures of performance selected by the Board.</w:t>
      </w:r>
    </w:p>
    <w:p>
      <w:pPr>
        <w:spacing w:after="0" w:line="167" w:lineRule="exact"/>
        <w:rPr>
          <w:sz w:val="20"/>
          <w:szCs w:val="20"/>
          <w:color w:val="auto"/>
        </w:rPr>
      </w:pPr>
    </w:p>
    <w:p>
      <w:pPr>
        <w:jc w:val="both"/>
        <w:ind w:firstLine="8"/>
        <w:spacing w:after="0" w:line="232" w:lineRule="auto"/>
        <w:tabs>
          <w:tab w:leader="none" w:pos="509"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(12) to exclude the effect of any other unusual, non-recurring gain or loss or other extraordinary item; (13) to exclude the effects of the timing of acceptance for review and/or approval of submissions to the Food and Drug Administration or any other regulatory body and (14) to exclude the effects of entering into or achieving milestones involved in licensing joint ventures.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509"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171"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Stock Award</w:t>
      </w:r>
      <w:r>
        <w:rPr>
          <w:rFonts w:ascii="Times New Roman" w:cs="Times New Roman" w:eastAsia="Times New Roman" w:hAnsi="Times New Roman"/>
          <w:sz w:val="22"/>
          <w:szCs w:val="22"/>
          <w:color w:val="auto"/>
        </w:rPr>
        <w:t>” means a Stock Award granted under the terms and conditions of Section 6(c)(i).</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ind w:left="520" w:hanging="512"/>
        <w:spacing w:after="0"/>
        <w:tabs>
          <w:tab w:leader="none" w:pos="52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Kyntra Bio, Inc. 2024 Equity Incentive Plan.</w:t>
      </w:r>
    </w:p>
    <w:p>
      <w:pPr>
        <w:spacing w:after="0" w:line="206"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means an award of shares of Common Stock which is granted pursuant to the terms and conditions of Section 6(a).</w:t>
      </w:r>
    </w:p>
    <w:p>
      <w:pPr>
        <w:spacing w:after="0" w:line="145"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09"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w:t>
      </w:r>
      <w:r>
        <w:rPr>
          <w:rFonts w:ascii="Times New Roman" w:cs="Times New Roman" w:eastAsia="Times New Roman" w:hAnsi="Times New Roman"/>
          <w:sz w:val="22"/>
          <w:szCs w:val="22"/>
          <w:color w:val="auto"/>
        </w:rPr>
        <w:t>” means a right to receive shares of Common Stock which is granted pursuant to the terms and conditions of Section 6(b).</w:t>
      </w:r>
    </w:p>
    <w:p>
      <w:pPr>
        <w:spacing w:after="0" w:line="145"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09"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 Agreement</w:t>
      </w:r>
      <w:r>
        <w:rPr>
          <w:rFonts w:ascii="Times New Roman" w:cs="Times New Roman" w:eastAsia="Times New Roman" w:hAnsi="Times New Roman"/>
          <w:sz w:val="22"/>
          <w:szCs w:val="22"/>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16b-3</w:t>
      </w:r>
      <w:r>
        <w:rPr>
          <w:rFonts w:ascii="Times New Roman" w:cs="Times New Roman" w:eastAsia="Times New Roman" w:hAnsi="Times New Roman"/>
          <w:sz w:val="22"/>
          <w:szCs w:val="22"/>
          <w:color w:val="auto"/>
        </w:rPr>
        <w:t>” means Rule 16b-3 promulgated under the Exchange Act or any successor to Rule 16b-3, as in effect from time to time.</w:t>
      </w:r>
    </w:p>
    <w:p>
      <w:pPr>
        <w:spacing w:after="0" w:line="145"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b w:val="1"/>
          <w:bCs w:val="1"/>
          <w:color w:val="auto"/>
        </w:rPr>
      </w:pPr>
    </w:p>
    <w:p>
      <w:pPr>
        <w:ind w:right="20" w:firstLine="8"/>
        <w:spacing w:after="0" w:line="264" w:lineRule="auto"/>
        <w:tabs>
          <w:tab w:leader="none" w:pos="509"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color w:val="auto"/>
        </w:rPr>
        <w:t>” means a right to receive the appreciation on Common Stock that is granted pursuant to the terms and conditions of Section 5.</w:t>
      </w:r>
    </w:p>
    <w:p>
      <w:pPr>
        <w:spacing w:after="0" w:line="145"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09"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 Agreement</w:t>
      </w:r>
      <w:r>
        <w:rPr>
          <w:rFonts w:ascii="Times New Roman" w:cs="Times New Roman" w:eastAsia="Times New Roman" w:hAnsi="Times New Roman"/>
          <w:sz w:val="22"/>
          <w:szCs w:val="22"/>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509"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w:t>
      </w:r>
      <w:r>
        <w:rPr>
          <w:rFonts w:ascii="Times New Roman" w:cs="Times New Roman" w:eastAsia="Times New Roman" w:hAnsi="Times New Roman"/>
          <w:sz w:val="22"/>
          <w:szCs w:val="22"/>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64" w:lineRule="exact"/>
        <w:rPr>
          <w:sz w:val="20"/>
          <w:szCs w:val="20"/>
          <w:color w:val="auto"/>
        </w:rPr>
      </w:pPr>
    </w:p>
    <w:p>
      <w:pPr>
        <w:ind w:firstLine="8"/>
        <w:spacing w:after="0" w:line="264" w:lineRule="auto"/>
        <w:tabs>
          <w:tab w:leader="none" w:pos="509"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 Agreement</w:t>
      </w:r>
      <w:r>
        <w:rPr>
          <w:rFonts w:ascii="Times New Roman" w:cs="Times New Roman" w:eastAsia="Times New Roman" w:hAnsi="Times New Roman"/>
          <w:sz w:val="22"/>
          <w:szCs w:val="22"/>
          <w:color w:val="auto"/>
        </w:rPr>
        <w:t>” means a written agreement between the Company and a Participant evidencing the terms and conditions of a Stock Award grant. Each Stock Award Agreement will be subject to the terms and conditions of the Plan.</w:t>
      </w:r>
    </w:p>
    <w:p>
      <w:pPr>
        <w:spacing w:after="0" w:line="1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(bbb)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the Company, (i) any corporation of which more than 50% of the outstanding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0" w:name="page151"/>
    <w:bookmarkEnd w:id="150"/>
    <w:p>
      <w:pPr>
        <w:ind w:left="-8" w:firstLine="8"/>
        <w:spacing w:after="0" w:line="288" w:lineRule="auto"/>
        <w:tabs>
          <w:tab w:leader="none" w:pos="501" w:val="left"/>
        </w:tabs>
        <w:numPr>
          <w:ilvl w:val="0"/>
          <w:numId w:val="1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Ten Percent Stockholder</w:t>
      </w:r>
      <w:r>
        <w:rPr>
          <w:rFonts w:ascii="Times New Roman" w:cs="Times New Roman" w:eastAsia="Times New Roman" w:hAnsi="Times New Roman"/>
          <w:sz w:val="21"/>
          <w:szCs w:val="21"/>
          <w:color w:val="auto"/>
        </w:rPr>
        <w:t>” means a person who Owns (or is deemed to Own pursuant to Section 424(d) of the Code) stock possessing more than ten percent of the total combined voting power of all classes of stock of the Company or any Affiliate.</w:t>
      </w:r>
    </w:p>
    <w:p>
      <w:pPr>
        <w:spacing w:after="0" w:line="3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618490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2"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10.1(ii)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yntra</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io</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estricted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U</w:t>
      </w:r>
      <w:r>
        <w:rPr>
          <w:rFonts w:ascii="Times New Roman" w:cs="Times New Roman" w:eastAsia="Times New Roman" w:hAnsi="Times New Roman"/>
          <w:sz w:val="13"/>
          <w:szCs w:val="13"/>
          <w:b w:val="1"/>
          <w:bCs w:val="1"/>
          <w:color w:val="auto"/>
        </w:rPr>
        <w:t>nit</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otice</w:t>
      </w:r>
    </w:p>
    <w:p>
      <w:pPr>
        <w:jc w:val="center"/>
        <w:spacing w:after="0"/>
        <w:rPr>
          <w:sz w:val="20"/>
          <w:szCs w:val="20"/>
          <w:color w:val="auto"/>
        </w:rPr>
      </w:pPr>
      <w:r>
        <w:rPr>
          <w:rFonts w:ascii="Times New Roman" w:cs="Times New Roman" w:eastAsia="Times New Roman" w:hAnsi="Times New Roman"/>
          <w:sz w:val="20"/>
          <w:szCs w:val="20"/>
          <w:b w:val="1"/>
          <w:bCs w:val="1"/>
          <w:color w:val="auto"/>
        </w:rPr>
        <w:t>(2024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pproved by</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on</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19, 2025</w:t>
      </w:r>
    </w:p>
    <w:p>
      <w:pPr>
        <w:spacing w:after="0" w:line="200" w:lineRule="exact"/>
        <w:rPr>
          <w:sz w:val="20"/>
          <w:szCs w:val="20"/>
          <w:color w:val="auto"/>
        </w:rPr>
      </w:pPr>
    </w:p>
    <w:p>
      <w:pPr>
        <w:spacing w:after="0" w:line="3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Kyntra Bio,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2024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awards to Participant a Restricted Stock Unit Award for the number of shares of the Company’s Common Stock (“</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The Award is subject to all of the terms and conditions as set forth in this notice of grant (this “</w:t>
      </w:r>
      <w:r>
        <w:rPr>
          <w:rFonts w:ascii="Times New Roman" w:cs="Times New Roman" w:eastAsia="Times New Roman" w:hAnsi="Times New Roman"/>
          <w:sz w:val="20"/>
          <w:szCs w:val="20"/>
          <w:b w:val="1"/>
          <w:bCs w:val="1"/>
          <w:i w:val="1"/>
          <w:iCs w:val="1"/>
          <w:color w:val="auto"/>
        </w:rPr>
        <w:t>Restricted Stock Unit Grant Notice</w:t>
      </w:r>
      <w:r>
        <w:rPr>
          <w:rFonts w:ascii="Times New Roman" w:cs="Times New Roman" w:eastAsia="Times New Roman" w:hAnsi="Times New Roman"/>
          <w:sz w:val="20"/>
          <w:szCs w:val="20"/>
          <w:color w:val="auto"/>
        </w:rPr>
        <w:t>”) and in the Plan and the Restricted Stock Unit Award Agreement (the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which are incorporated herein in their entirety. Capitalized terms not otherwise defined herein shall have the meanings set forth in the Plan or the Award Agreement. In the event of any conflict between the terms in the Award Agreement and the Plan, the terms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Participant:</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-127635</wp:posOffset>
            </wp:positionV>
            <wp:extent cx="40633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9">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-127635</wp:posOffset>
            </wp:positionV>
            <wp:extent cx="40633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0">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-127635</wp:posOffset>
            </wp:positionV>
            <wp:extent cx="40633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-127635</wp:posOffset>
            </wp:positionV>
            <wp:extent cx="40633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Number of Shares Subject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-127635</wp:posOffset>
            </wp:positionV>
            <wp:extent cx="406336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3">
                      <a:extLst>
                        <a:ext uri="{28A0092B-C50C-407E-A947-70E740481C1C}"/>
                      </a:extLst>
                    </a:blip>
                    <a:srcRect/>
                    <a:stretch>
                      <a:fillRect/>
                    </a:stretch>
                  </pic:blipFill>
                  <pic:spPr bwMode="auto">
                    <a:xfrm>
                      <a:off x="0" y="0"/>
                      <a:ext cx="406336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26035</wp:posOffset>
            </wp:positionV>
            <wp:extent cx="406336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4">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left="2020" w:hanging="2245"/>
        <w:spacing w:after="0" w:line="220" w:lineRule="auto"/>
        <w:tabs>
          <w:tab w:leader="none" w:pos="200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 xml:space="preserve">Subject to Section 9(c) of the Plan, the shares subject to the Award shall vest as follows: one-fourth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of the shares vest one year after the Vesting Commencement Date; the balance of the shares vest in a series of twelve</w:t>
      </w:r>
    </w:p>
    <w:p>
      <w:pPr>
        <w:ind w:left="2260" w:right="20" w:hanging="6"/>
        <w:spacing w:after="0" w:line="246" w:lineRule="auto"/>
        <w:tabs>
          <w:tab w:leader="none" w:pos="2671"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successive substantially equal quarterly installments measured from the first anniversary of the Vesting Commencement Date, subject to Participant’s Continuous Service on each applicable vesting date.</w:t>
      </w:r>
    </w:p>
    <w:p>
      <w:pPr>
        <w:spacing w:after="0" w:line="367" w:lineRule="exact"/>
        <w:rPr>
          <w:sz w:val="20"/>
          <w:szCs w:val="20"/>
          <w:color w:val="auto"/>
        </w:rPr>
      </w:pPr>
    </w:p>
    <w:p>
      <w:pPr>
        <w:jc w:val="both"/>
        <w:ind w:left="2060" w:hanging="2245"/>
        <w:spacing w:after="0" w:line="269" w:lineRule="auto"/>
        <w:tabs>
          <w:tab w:leader="none" w:pos="2040" w:val="left"/>
        </w:tabs>
        <w:rPr>
          <w:sz w:val="20"/>
          <w:szCs w:val="20"/>
          <w:color w:val="auto"/>
        </w:rPr>
      </w:pPr>
      <w:r>
        <w:rPr>
          <w:rFonts w:ascii="Times New Roman" w:cs="Times New Roman" w:eastAsia="Times New Roman" w:hAnsi="Times New Roman"/>
          <w:sz w:val="20"/>
          <w:szCs w:val="20"/>
          <w:b w:val="1"/>
          <w:bCs w:val="1"/>
          <w:color w:val="auto"/>
        </w:rPr>
        <w:t>Issuance Schedule:</w:t>
      </w:r>
      <w:r>
        <w:rPr>
          <w:sz w:val="20"/>
          <w:szCs w:val="20"/>
          <w:color w:val="auto"/>
        </w:rPr>
        <w:tab/>
      </w:r>
      <w:r>
        <w:rPr>
          <w:rFonts w:ascii="Times New Roman" w:cs="Times New Roman" w:eastAsia="Times New Roman" w:hAnsi="Times New Roman"/>
          <w:sz w:val="20"/>
          <w:szCs w:val="20"/>
          <w:color w:val="auto"/>
        </w:rPr>
        <w:t>Subject to any change on a Capitalization Adjustment, one share of Common Stock will be issued for each Restricted Stock Unit that vests at the time set forth in Section 6 of the Award Agreement.</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Additional Terms/Acknowledgements: </w:t>
      </w:r>
      <w:r>
        <w:rPr>
          <w:rFonts w:ascii="Times New Roman" w:cs="Times New Roman" w:eastAsia="Times New Roman" w:hAnsi="Times New Roman"/>
          <w:sz w:val="20"/>
          <w:szCs w:val="20"/>
          <w:color w:val="auto"/>
        </w:rPr>
        <w:t>Participant acknowledges receipt of, and understands and agrees to, this Restricted Stock Unit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Notice, the 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the written employment agreement or offer letter agreement entered into between the Company and Participant specifying the terms that should govern this specific Award, and (ii) any compensation recovery policy that is adopted by the Company or is otherwise required by applicable law.</w:t>
      </w:r>
    </w:p>
    <w:p>
      <w:pPr>
        <w:spacing w:after="0" w:line="75" w:lineRule="exact"/>
        <w:rPr>
          <w:sz w:val="20"/>
          <w:szCs w:val="20"/>
          <w:color w:val="auto"/>
        </w:rPr>
      </w:pPr>
    </w:p>
    <w:p>
      <w:pPr>
        <w:jc w:val="center"/>
        <w:spacing w:after="0"/>
        <w:tabs>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52" w:name="page153"/>
    <w:bookmarkEnd w:id="152"/>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yntra</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io</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Title: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20"/>
          <w:szCs w:val="20"/>
          <w:color w:val="auto"/>
        </w:rPr>
        <w:t>: RSU agreement, 2024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4"/>
          <w:szCs w:val="14"/>
          <w:b w:val="1"/>
          <w:bCs w:val="1"/>
          <w:color w:val="auto"/>
        </w:rPr>
        <w:t>yntra</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pproved by</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on</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19, 2025</w:t>
      </w:r>
    </w:p>
    <w:p>
      <w:pPr>
        <w:spacing w:after="0" w:line="200" w:lineRule="exact"/>
        <w:rPr>
          <w:sz w:val="20"/>
          <w:szCs w:val="20"/>
          <w:color w:val="auto"/>
        </w:rPr>
      </w:pPr>
    </w:p>
    <w:p>
      <w:pPr>
        <w:spacing w:after="0" w:line="2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Pursuant to the Restricted Stock Unit Grant Notice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this Restricted Stock Unit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you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a Restricted Stock Unit Award (this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pursuant to Section 6(b) of the Company’s 2024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77" w:lineRule="exact"/>
        <w:rPr>
          <w:sz w:val="20"/>
          <w:szCs w:val="20"/>
          <w:color w:val="auto"/>
        </w:rPr>
      </w:pPr>
    </w:p>
    <w:p>
      <w:pPr>
        <w:jc w:val="both"/>
        <w:ind w:firstLine="757"/>
        <w:spacing w:after="0" w:line="238" w:lineRule="auto"/>
        <w:tabs>
          <w:tab w:leader="none" w:pos="1018"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represents the right to be issued on a future date one (1) share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 w:cs="Times New Roman" w:eastAsia="Times New Roman" w:hAnsi="Times New Roman"/>
          <w:sz w:val="22"/>
          <w:szCs w:val="22"/>
          <w:b w:val="1"/>
          <w:bCs w:val="1"/>
          <w:i w:val="1"/>
          <w:iCs w:val="1"/>
          <w:color w:val="auto"/>
        </w:rPr>
        <w:t>Account</w:t>
      </w:r>
      <w:r>
        <w:rPr>
          <w:rFonts w:ascii="Times New Roman" w:cs="Times New Roman" w:eastAsia="Times New Roman" w:hAnsi="Times New Roman"/>
          <w:sz w:val="22"/>
          <w:szCs w:val="22"/>
          <w:color w:val="auto"/>
        </w:rPr>
        <w:t>”) the number of Restricted Stock Units/shares of Common Stock subject to this Award. This Award was granted in consideration of your services to the Company.</w:t>
      </w:r>
    </w:p>
    <w:p>
      <w:pPr>
        <w:spacing w:after="0" w:line="176"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limitations contained herein, your Award will vest, if at all, in accordance with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76"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Restricted Stock Units/shares subject to your Award may be adjusted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for Capitalization Adjustments, as provided in the Plan. Any additional Restricted Stock Units, shares, cash or other property that becomes subject to this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color w:val="auto"/>
        </w:rPr>
        <w:t>. You may not be issued any Common Stock under your Award unless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w:t>
      </w:r>
    </w:p>
    <w:p>
      <w:pPr>
        <w:spacing w:after="0" w:line="32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58" w:lineRule="auto"/>
        <w:rPr>
          <w:sz w:val="20"/>
          <w:szCs w:val="20"/>
          <w:color w:val="auto"/>
        </w:rPr>
      </w:pPr>
      <w:r>
        <w:rPr>
          <w:rFonts w:ascii="Times New Roman" w:cs="Times New Roman" w:eastAsia="Times New Roman" w:hAnsi="Times New Roman"/>
          <w:sz w:val="22"/>
          <w:szCs w:val="22"/>
          <w:color w:val="auto"/>
        </w:rPr>
        <w:t>such Common Stock if the Company determines that such receipt would not be in material compliance with such laws and regulations.</w:t>
      </w:r>
    </w:p>
    <w:p>
      <w:pPr>
        <w:spacing w:after="0" w:line="154" w:lineRule="exact"/>
        <w:rPr>
          <w:sz w:val="20"/>
          <w:szCs w:val="20"/>
          <w:color w:val="auto"/>
        </w:rPr>
      </w:pPr>
    </w:p>
    <w:p>
      <w:pPr>
        <w:jc w:val="both"/>
        <w:ind w:firstLine="757"/>
        <w:spacing w:after="0" w:line="238" w:lineRule="auto"/>
        <w:tabs>
          <w:tab w:leader="none" w:pos="101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estrictions</w:t>
      </w:r>
      <w:r>
        <w:rPr>
          <w:rFonts w:ascii="Times New Roman" w:cs="Times New Roman" w:eastAsia="Times New Roman" w:hAnsi="Times New Roman"/>
          <w:sz w:val="22"/>
          <w:szCs w:val="22"/>
          <w:color w:val="auto"/>
        </w:rPr>
        <w:t>. Prior to the time that shares of Common Stock have been delivered to you, you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Your Award is transferable by will and by the laws of descent and distribution. At your death,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of your Award will cease and your executor or administrator of your estate shall be entitled to receive, on behalf of your estate, any Common Stock or other consideration that vested but was not issued before your death.</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48" w:lineRule="auto"/>
        <w:tabs>
          <w:tab w:leader="none" w:pos="2036" w:val="left"/>
        </w:tabs>
        <w:numPr>
          <w:ilvl w:val="1"/>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Domestic Relations Orders. </w:t>
      </w:r>
      <w:r>
        <w:rPr>
          <w:rFonts w:ascii="Times New Roman" w:cs="Times New Roman" w:eastAsia="Times New Roman" w:hAnsi="Times New Roman"/>
          <w:sz w:val="21"/>
          <w:szCs w:val="21"/>
          <w:color w:val="auto"/>
        </w:rPr>
        <w:t>Upon receiving written permission from the Board or its duly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or marital settlement agreement that contains the information required by the Company to effectuate the transfer. You are encouraged to discuss the proposed terms of any division of this Award with the Company’s stock plan administrator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70" w:lineRule="exact"/>
        <w:rPr>
          <w:rFonts w:ascii="Times New Roman" w:cs="Times New Roman" w:eastAsia="Times New Roman" w:hAnsi="Times New Roman"/>
          <w:sz w:val="21"/>
          <w:szCs w:val="21"/>
          <w:b w:val="1"/>
          <w:bCs w:val="1"/>
          <w:color w:val="auto"/>
        </w:rPr>
      </w:pPr>
    </w:p>
    <w:p>
      <w:pPr>
        <w:ind w:left="1020" w:hanging="263"/>
        <w:spacing w:after="0"/>
        <w:tabs>
          <w:tab w:leader="none" w:pos="102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Subject to the satisfaction of the withholding obligations set forth in Section 11 of this Agreement and subject to Section 6(b) below, in the event that one or more Restricted Stock Units vests, the Company shall issue to you, on the applicable vesting date (subject to any adjustment under Section 3 above), one share of Common Stock for each Restricted Stock Unit that vests on the applicable vesting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date falls on a date that is not a business day, delivery will instead occur on the next business day.</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shares will be delivered on a date later than the applicable vesting date or its next following business day, if, to the extent applicable at a vesting date, (i) any shares covered by your Restricted Stock Units are scheduled to be delivered on a date (the “</w:t>
      </w:r>
      <w:r>
        <w:rPr>
          <w:rFonts w:ascii="Times New Roman" w:cs="Times New Roman" w:eastAsia="Times New Roman" w:hAnsi="Times New Roman"/>
          <w:sz w:val="22"/>
          <w:szCs w:val="22"/>
          <w:b w:val="1"/>
          <w:bCs w:val="1"/>
          <w:i w:val="1"/>
          <w:iCs w:val="1"/>
          <w:color w:val="auto"/>
        </w:rPr>
        <w:t>Original Distribution Date</w:t>
      </w:r>
      <w:r>
        <w:rPr>
          <w:rFonts w:ascii="Times New Roman" w:cs="Times New Roman" w:eastAsia="Times New Roman" w:hAnsi="Times New Roman"/>
          <w:sz w:val="22"/>
          <w:szCs w:val="22"/>
          <w:color w:val="auto"/>
        </w:rPr>
        <w:t>”) that does not occur: (A) during an open “window period” applicable to you, as determined by the Company in accordance with the Company’s then-effective policy on trading in Company securities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(B) on a date on which you are permitted to sell shares of Common Stock pursuant to a written plan that meets the requirements of Rule 10b5-1 under the Exchange Act, as determined by the Company in accordance with the Policy; (C) on a date when you are otherwise permitted to sell shares of Common Stock on the open market; or (D) during any applicable lock-up period under any lock-up agreement or market standoff agreement covering shares of Common Stock held by a Participant; and (ii) the Company elects not to satisfy its tax withholding obligations by withholding shares pursuant to one of the</w:t>
      </w:r>
    </w:p>
    <w:p>
      <w:pPr>
        <w:spacing w:after="0" w:line="32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both"/>
        <w:spacing w:after="0" w:line="236" w:lineRule="auto"/>
        <w:rPr>
          <w:sz w:val="20"/>
          <w:szCs w:val="20"/>
          <w:color w:val="auto"/>
        </w:rPr>
      </w:pPr>
      <w:r>
        <w:rPr>
          <w:rFonts w:ascii="Times New Roman" w:cs="Times New Roman" w:eastAsia="Times New Roman" w:hAnsi="Times New Roman"/>
          <w:sz w:val="22"/>
          <w:szCs w:val="22"/>
          <w:color w:val="auto"/>
        </w:rPr>
        <w:t>methods permitted under Section 11, withholding from other compensation otherwise payable to you by the Company, or by permitting you to pay your Withholding Taxes in cash, then such shares will not be delivered on such Original Distribution Date and will instead be delivered on the first business day when you are not prohibited from selling shares of the Company’s Common Stock in the open public market, but in no event later than the date that is the 15th day of the third calendar month of the year following the year in which the shares of Common Stock under this Award are no longer subject to a “substantial risk of forfeiture” within the meaning of Treasury Regulations Section 1.409A-1(d).</w:t>
      </w:r>
    </w:p>
    <w:p>
      <w:pPr>
        <w:spacing w:after="0" w:line="181" w:lineRule="exact"/>
        <w:rPr>
          <w:sz w:val="20"/>
          <w:szCs w:val="20"/>
          <w:color w:val="auto"/>
        </w:rPr>
      </w:pPr>
    </w:p>
    <w:p>
      <w:pPr>
        <w:jc w:val="both"/>
        <w:ind w:firstLine="1505"/>
        <w:spacing w:after="0" w:line="244" w:lineRule="auto"/>
        <w:tabs>
          <w:tab w:leader="none" w:pos="2036"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Delivery of the shares pursuant to the provisions of this Section 6 is intended to comply with the requirements for the short-term deferral exemption available under Treasury Regulations Section 1.409A-1(b)(4) and will be construed and administered in such manner.</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elects to issue you cash in part or in full satisfaction of the shares of Common Stock issuable upon vesting of your Restricted Stock Units, then the foregoing provisions of this Section 6 will not apply and such cash will be paid to you in a lump sum at any time on after the vesting date of your Restricted Stock Units, but in no event later than the 15th day of the third calendar month of the year following the year in which the shares of Common Stock under the Restricted Stock Units are no longer subject to a “substantial risk of forfeiture” within the meaning of Treasury Regulations Section 1.409A-1(d).</w:t>
      </w:r>
    </w:p>
    <w:p>
      <w:pPr>
        <w:spacing w:after="0" w:line="177" w:lineRule="exact"/>
        <w:rPr>
          <w:rFonts w:ascii="Times New Roman" w:cs="Times New Roman" w:eastAsia="Times New Roman" w:hAnsi="Times New Roman"/>
          <w:sz w:val="22"/>
          <w:szCs w:val="22"/>
          <w:b w:val="1"/>
          <w:bCs w:val="1"/>
          <w:color w:val="auto"/>
        </w:rPr>
      </w:pPr>
    </w:p>
    <w:p>
      <w:pPr>
        <w:ind w:right="20" w:firstLine="1505"/>
        <w:spacing w:after="0" w:line="262" w:lineRule="auto"/>
        <w:tabs>
          <w:tab w:leader="none" w:pos="2036"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form of delivery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stock certificate or electronic entry evidencing such shares) shall be determined by the Company.</w:t>
      </w:r>
    </w:p>
    <w:p>
      <w:pPr>
        <w:spacing w:after="0" w:line="149"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shall receive no benefit or adjustment to your Award with respect to any cash dividend,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or other distribution that does not result from a Capitalization Adjustment.</w:t>
      </w:r>
    </w:p>
    <w:p>
      <w:pPr>
        <w:spacing w:after="0" w:line="149"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estrictive</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egends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of Common Stock issued under your Award shall be endorsed with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legends as determined by the Company.</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xecution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acknowledge and agree that the manner selected by the Company by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10.A</w:t>
      </w:r>
      <w:r>
        <w:rPr>
          <w:rFonts w:ascii="Times New Roman" w:cs="Times New Roman" w:eastAsia="Times New Roman" w:hAnsi="Times New Roman"/>
          <w:sz w:val="14"/>
          <w:szCs w:val="14"/>
          <w:b w:val="1"/>
          <w:bCs w:val="1"/>
          <w:color w:val="auto"/>
        </w:rPr>
        <w:t>ward not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5" w:lineRule="auto"/>
        <w:tabs>
          <w:tab w:leader="none" w:pos="2036"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in this Agreement (including, but not limited to, the vesting of your Award or the issuance of the shares subject to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w:t>
      </w:r>
    </w:p>
    <w:p>
      <w:pPr>
        <w:spacing w:after="0" w:line="33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ind w:left="-8" w:firstLine="8"/>
        <w:spacing w:after="0" w:line="258" w:lineRule="auto"/>
        <w:tabs>
          <w:tab w:leader="none" w:pos="36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deprive the Company of the right to terminate you at will and without regard to any future vesting opportunity that you may have.</w:t>
      </w:r>
    </w:p>
    <w:p>
      <w:pPr>
        <w:spacing w:after="0" w:line="158" w:lineRule="exact"/>
        <w:rPr>
          <w:rFonts w:ascii="Times New Roman" w:cs="Times New Roman" w:eastAsia="Times New Roman" w:hAnsi="Times New Roman"/>
          <w:sz w:val="22"/>
          <w:szCs w:val="22"/>
          <w:color w:val="auto"/>
        </w:rPr>
      </w:pPr>
    </w:p>
    <w:p>
      <w:pPr>
        <w:jc w:val="both"/>
        <w:ind w:left="-8" w:firstLine="1505"/>
        <w:spacing w:after="0" w:line="235" w:lineRule="auto"/>
        <w:tabs>
          <w:tab w:leader="none" w:pos="2028" w:val="left"/>
        </w:tabs>
        <w:numPr>
          <w:ilvl w:val="1"/>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the right to reorganize, sell, spin-out or otherwise restructure one or more of its businesses or Affiliates at any time or from time to time, as it deems appropriate (a “</w:t>
      </w:r>
      <w:r>
        <w:rPr>
          <w:rFonts w:ascii="Times New Roman" w:cs="Times New Roman" w:eastAsia="Times New Roman" w:hAnsi="Times New Roman"/>
          <w:sz w:val="22"/>
          <w:szCs w:val="22"/>
          <w:b w:val="1"/>
          <w:bCs w:val="1"/>
          <w:i w:val="1"/>
          <w:iCs w:val="1"/>
          <w:color w:val="auto"/>
        </w:rPr>
        <w:t>reorganization</w:t>
      </w:r>
      <w:r>
        <w:rPr>
          <w:rFonts w:ascii="Times New Roman" w:cs="Times New Roman" w:eastAsia="Times New Roman" w:hAnsi="Times New Roman"/>
          <w:sz w:val="22"/>
          <w:szCs w:val="22"/>
          <w:color w:val="auto"/>
        </w:rPr>
        <w: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conduct a reorganization.</w:t>
      </w:r>
    </w:p>
    <w:p>
      <w:pPr>
        <w:spacing w:after="0" w:line="17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b w:val="1"/>
          <w:bCs w:val="1"/>
          <w:color w:val="auto"/>
        </w:rPr>
        <w:t>11.W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8" w:firstLine="1505"/>
        <w:spacing w:after="0" w:line="232" w:lineRule="auto"/>
        <w:tabs>
          <w:tab w:leader="none" w:pos="2028"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the vesting date, and on or before the date on which you receive a distribution of the shares underlying your Restricted Stock Units, and at any other time as reasonably requested by the Company in accordance with applicable tax laws, you hereby authorize any required withholding from the Common Stock issuable to you and/or otherwise agree to make adequate provision in cash for any sums required to satisfy the federal, state, local and foreign tax withholding obligations of the Company or any Affiliate that arise in connection with the vesting and settlement of your Award (the “</w:t>
      </w:r>
      <w:r>
        <w:rPr>
          <w:rFonts w:ascii="Times New Roman" w:cs="Times New Roman" w:eastAsia="Times New Roman" w:hAnsi="Times New Roman"/>
          <w:sz w:val="22"/>
          <w:szCs w:val="22"/>
          <w:b w:val="1"/>
          <w:bCs w:val="1"/>
          <w:i w:val="1"/>
          <w:iCs w:val="1"/>
          <w:color w:val="auto"/>
        </w:rPr>
        <w:t>Withholding Taxes</w:t>
      </w:r>
      <w:r>
        <w:rPr>
          <w:rFonts w:ascii="Times New Roman" w:cs="Times New Roman" w:eastAsia="Times New Roman" w:hAnsi="Times New Roman"/>
          <w:sz w:val="22"/>
          <w:szCs w:val="22"/>
          <w:color w:val="auto"/>
        </w:rPr>
        <w:t>”).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22"/>
          <w:szCs w:val="22"/>
          <w:b w:val="1"/>
          <w:bCs w:val="1"/>
          <w:i w:val="1"/>
          <w:iCs w:val="1"/>
          <w:color w:val="auto"/>
        </w:rPr>
        <w:t>FINRA Dealer</w:t>
      </w:r>
      <w:r>
        <w:rPr>
          <w:rFonts w:ascii="Times New Roman" w:cs="Times New Roman" w:eastAsia="Times New Roman" w:hAnsi="Times New Roman"/>
          <w:sz w:val="22"/>
          <w:szCs w:val="22"/>
          <w:color w:val="auto"/>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number of such shares of Common Stock so withheld will not exceed the amount necessary to satisfy the Company’s required tax withholding obligations using the minimum statutory withholding rates for federal, state, local and foreign tax purposes, including payroll taxes, that are applicable to supplemental taxable income;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to the extent necessary to qualify for an exemption from application of Section 16(b) of the Exchange Act,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applicable, such share withholding procedure will be subject to the express prior approval of the Company’s Compensation Committee.</w:t>
      </w:r>
    </w:p>
    <w:p>
      <w:pPr>
        <w:spacing w:after="0" w:line="185" w:lineRule="exact"/>
        <w:rPr>
          <w:rFonts w:ascii="Times New Roman" w:cs="Times New Roman" w:eastAsia="Times New Roman" w:hAnsi="Times New Roman"/>
          <w:sz w:val="22"/>
          <w:szCs w:val="22"/>
          <w:b w:val="1"/>
          <w:bCs w:val="1"/>
          <w:color w:val="auto"/>
        </w:rPr>
      </w:pPr>
    </w:p>
    <w:p>
      <w:pPr>
        <w:ind w:left="-8" w:firstLine="1505"/>
        <w:spacing w:after="0" w:line="258" w:lineRule="auto"/>
        <w:tabs>
          <w:tab w:leader="none" w:pos="2028"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the tax withholding obligations of the Company and/or any Affiliate are satisfied, the Company shall have no obligation to deliver to you any shares of Common Stock in settlement of any vested portion of your Award.</w:t>
      </w:r>
    </w:p>
    <w:p>
      <w:pPr>
        <w:spacing w:after="0" w:line="3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57" w:name="page158"/>
    <w:bookmarkEnd w:id="157"/>
    <w:p>
      <w:pPr>
        <w:jc w:val="both"/>
        <w:ind w:firstLine="1505"/>
        <w:spacing w:after="0" w:line="239" w:lineRule="auto"/>
        <w:tabs>
          <w:tab w:leader="none" w:pos="2036"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12.T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no duty or obligation to minimize the tax consequences to you of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13.U</w:t>
      </w:r>
      <w:r>
        <w:rPr>
          <w:rFonts w:ascii="Times New Roman" w:cs="Times New Roman" w:eastAsia="Times New Roman" w:hAnsi="Times New Roman"/>
          <w:sz w:val="14"/>
          <w:szCs w:val="14"/>
          <w:b w:val="1"/>
          <w:bCs w:val="1"/>
          <w:color w:val="auto"/>
        </w:rPr>
        <w:t>nsecured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Award is unfunded, and as a holder of a vested Award, you shall be considered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14.N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22"/>
          <w:szCs w:val="22"/>
          <w:color w:val="auto"/>
        </w:rPr>
        <w:t>. Any notice or request required or permitted hereunder shall be given in writing to each of the other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and shall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at the following addresses, or at such other address(es) as a party may designate by ten (10) days’ advance written notice to each of the other parties hereto:</w:t>
      </w:r>
    </w:p>
    <w:p>
      <w:pPr>
        <w:sectPr>
          <w:pgSz w:w="11900" w:h="16838" w:orient="portrait"/>
          <w:cols w:equalWidth="0" w:num="1">
            <w:col w:w="11240"/>
          </w:cols>
          <w:pgMar w:left="320" w:top="1408" w:right="339" w:bottom="1440" w:gutter="0" w:footer="0" w:header="0"/>
        </w:sectPr>
      </w:pP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Kyntra Bio,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General Counsel</w:t>
      </w:r>
    </w:p>
    <w:p>
      <w:pPr>
        <w:spacing w:after="0"/>
        <w:rPr>
          <w:sz w:val="20"/>
          <w:szCs w:val="20"/>
          <w:color w:val="auto"/>
        </w:rPr>
      </w:pPr>
      <w:r>
        <w:rPr>
          <w:rFonts w:ascii="Times New Roman" w:cs="Times New Roman" w:eastAsia="Times New Roman" w:hAnsi="Times New Roman"/>
          <w:sz w:val="21"/>
          <w:szCs w:val="21"/>
          <w:color w:val="auto"/>
        </w:rPr>
        <w:t>350 Bay Street, Suite 100 #6009</w:t>
      </w:r>
    </w:p>
    <w:p>
      <w:pPr>
        <w:spacing w:after="0" w:line="7" w:lineRule="exact"/>
        <w:rPr>
          <w:sz w:val="20"/>
          <w:szCs w:val="20"/>
          <w:color w:val="auto"/>
        </w:rPr>
      </w:pPr>
    </w:p>
    <w:p>
      <w:pPr>
        <w:sectPr>
          <w:pgSz w:w="11900" w:h="16838" w:orient="portrait"/>
          <w:cols w:equalWidth="0" w:num="2">
            <w:col w:w="1340" w:space="280"/>
            <w:col w:w="9620"/>
          </w:cols>
          <w:pgMar w:left="320" w:top="140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2"/>
          <w:szCs w:val="22"/>
          <w:color w:val="auto"/>
        </w:rPr>
        <w:t>San Francisco, CA 94133</w:t>
      </w:r>
    </w:p>
    <w:p>
      <w:pPr>
        <w:spacing w:after="0" w:line="200" w:lineRule="exact"/>
        <w:rPr>
          <w:sz w:val="20"/>
          <w:szCs w:val="20"/>
          <w:color w:val="auto"/>
        </w:rPr>
      </w:pPr>
    </w:p>
    <w:p>
      <w:pPr>
        <w:ind w:left="2920" w:right="4680" w:hanging="2994"/>
        <w:spacing w:after="0" w:line="258" w:lineRule="auto"/>
        <w:tabs>
          <w:tab w:leader="none" w:pos="2900" w:val="left"/>
        </w:tabs>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articipant</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color w:val="auto"/>
        </w:rPr>
        <w:t>Your address as on file with the Company at the time notice is given</w:t>
      </w:r>
    </w:p>
    <w:p>
      <w:pPr>
        <w:spacing w:after="0" w:line="185"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15.H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22"/>
          <w:szCs w:val="22"/>
          <w:color w:val="auto"/>
        </w:rPr>
        <w:t>. The headings of the Sections in this Agreement are inserted for convenience only and shall not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constitute a part of this Agreement or to affect the meaning of this Agreement.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58" w:name="page159"/>
    <w:bookmarkEnd w:id="158"/>
    <w:p>
      <w:pPr>
        <w:ind w:left="760"/>
        <w:spacing w:after="0"/>
        <w:rPr>
          <w:sz w:val="20"/>
          <w:szCs w:val="20"/>
          <w:color w:val="auto"/>
        </w:rPr>
      </w:pPr>
      <w:r>
        <w:rPr>
          <w:rFonts w:ascii="Times New Roman" w:cs="Times New Roman" w:eastAsia="Times New Roman" w:hAnsi="Times New Roman"/>
          <w:sz w:val="22"/>
          <w:szCs w:val="22"/>
          <w:b w:val="1"/>
          <w:bCs w:val="1"/>
          <w:color w:val="auto"/>
        </w:rPr>
        <w:t>16.M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4" w:lineRule="auto"/>
        <w:tabs>
          <w:tab w:leader="none" w:pos="2036"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7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Award.</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shall be subject to all applicable laws, rules, and regulations, and to such approvals by any governmental agencies or national securities exchanges as may be required.</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6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17.G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color w:val="auto"/>
        </w:rPr>
        <w:t>. Your Award is subject to all the provisions of the Plan, the provisions of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18.E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value of the Award subject to this Agreement shall not be included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19.C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interpretation, performance and enforcement of this Agreement shall be governed by the law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regard to that state’s conflicts of laws rules.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20.S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color w:val="auto"/>
        </w:rPr>
        <w:t>. If all or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shall</w:t>
      </w:r>
    </w:p>
    <w:p>
      <w:pPr>
        <w:spacing w:after="0" w:line="30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9" w:name="page160"/>
    <w:bookmarkEnd w:id="159"/>
    <w:p>
      <w:pPr>
        <w:jc w:val="both"/>
        <w:spacing w:after="0" w:line="244" w:lineRule="auto"/>
        <w:rPr>
          <w:sz w:val="20"/>
          <w:szCs w:val="20"/>
          <w:color w:val="auto"/>
        </w:rPr>
      </w:pPr>
      <w:r>
        <w:rPr>
          <w:rFonts w:ascii="Times New Roman" w:cs="Times New Roman" w:eastAsia="Times New Roman" w:hAnsi="Times New Roman"/>
          <w:sz w:val="22"/>
          <w:szCs w:val="22"/>
          <w:color w:val="auto"/>
        </w:rPr>
        <w:t>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21.O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color w:val="auto"/>
        </w:rPr>
        <w:t>. You hereby acknowledge receipt or the right to receive a document providing the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428(b)(1) promulgated under the Securities Act. In addition, you acknowledge receipt of the Company’s Policy.</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22.A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not be modified, amended or terminated except by an instrument in writing,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23.C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ode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is intended to comply with the “short-term deferral”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(or the date of your death, if earlier),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 * * * *</w:t>
      </w:r>
    </w:p>
    <w:p>
      <w:pPr>
        <w:spacing w:after="0" w:line="233" w:lineRule="exact"/>
        <w:rPr>
          <w:sz w:val="20"/>
          <w:szCs w:val="20"/>
          <w:color w:val="auto"/>
        </w:rPr>
      </w:pPr>
    </w:p>
    <w:p>
      <w:pPr>
        <w:ind w:right="340" w:firstLine="432"/>
        <w:spacing w:after="0" w:line="258" w:lineRule="auto"/>
        <w:rPr>
          <w:sz w:val="20"/>
          <w:szCs w:val="20"/>
          <w:color w:val="auto"/>
        </w:rPr>
      </w:pPr>
      <w:r>
        <w:rPr>
          <w:rFonts w:ascii="Times New Roman" w:cs="Times New Roman" w:eastAsia="Times New Roman" w:hAnsi="Times New Roman"/>
          <w:sz w:val="22"/>
          <w:szCs w:val="22"/>
          <w:color w:val="auto"/>
        </w:rPr>
        <w:t>This Restricted Stock Unit Award Agreement shall be deemed to be signed by the Company and the Participant upon the physical or digital signing by the Participant of the Restricted Stock Unit Grant Notice to which it is attached.</w:t>
      </w:r>
    </w:p>
    <w:p>
      <w:pPr>
        <w:spacing w:after="0" w:line="200" w:lineRule="exact"/>
        <w:rPr>
          <w:sz w:val="20"/>
          <w:szCs w:val="20"/>
          <w:color w:val="auto"/>
        </w:rPr>
      </w:pPr>
    </w:p>
    <w:p>
      <w:pPr>
        <w:spacing w:after="0" w:line="35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10.1(iii)</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KYNTRA BIO, INC.</w:t>
      </w:r>
    </w:p>
    <w:p>
      <w:pPr>
        <w:spacing w:after="0" w:line="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STOCK OPTION GRANT NOTICE</w:t>
      </w:r>
    </w:p>
    <w:p>
      <w:pPr>
        <w:ind w:left="3920"/>
        <w:spacing w:after="0"/>
        <w:rPr>
          <w:sz w:val="20"/>
          <w:szCs w:val="20"/>
          <w:color w:val="auto"/>
        </w:rPr>
      </w:pPr>
      <w:r>
        <w:rPr>
          <w:rFonts w:ascii="Times New Roman" w:cs="Times New Roman" w:eastAsia="Times New Roman" w:hAnsi="Times New Roman"/>
          <w:sz w:val="22"/>
          <w:szCs w:val="22"/>
          <w:b w:val="1"/>
          <w:bCs w:val="1"/>
          <w:color w:val="auto"/>
        </w:rPr>
        <w:t>(2024 EQUITY INCENTIVE PLAN)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pproved by</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on</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19, 2025</w:t>
      </w:r>
    </w:p>
    <w:p>
      <w:pPr>
        <w:spacing w:after="0" w:line="200" w:lineRule="exact"/>
        <w:rPr>
          <w:sz w:val="20"/>
          <w:szCs w:val="20"/>
          <w:color w:val="auto"/>
        </w:rPr>
      </w:pPr>
    </w:p>
    <w:p>
      <w:pPr>
        <w:spacing w:after="0" w:line="24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its 2024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hereby grants to 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Optionholder:</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ID:</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of Grant:</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Grant Number:</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Option Type:</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Number of Shares Subject to Option:</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Exercise Price (Per Share):</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Total Exercise Price:</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80" w:right="240" w:hanging="2173"/>
        <w:spacing w:after="0" w:line="255" w:lineRule="auto"/>
        <w:tabs>
          <w:tab w:leader="none" w:pos="2260" w:val="left"/>
        </w:tabs>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Subject to Section 9 of the Option Agreement, one-fourth (1/4th) of the shares vest one year after the Vesting Commencement Date; the balance of the shares vest in a series of twelve (12) successive substantially equal quarterly installments measured from the first anniversary of the Vesting Commencement Date, subject to Optionholder’s Continuous Service as of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Additional Terms/Acknowledgements: </w:t>
      </w:r>
      <w:r>
        <w:rPr>
          <w:rFonts w:ascii="Times New Roman" w:cs="Times New Roman" w:eastAsia="Times New Roman" w:hAnsi="Times New Roman"/>
          <w:sz w:val="22"/>
          <w:szCs w:val="22"/>
          <w:color w:val="auto"/>
        </w:rPr>
        <w:t>Optionholder acknowledges receipt of, and understands and agrees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Option Grant Notice, the 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(ii) any compensation recovery policy that is adopted by the Company or is otherwise required by applicable law and (iii) any written employment or severance arrangement that would provide for vesting acceleration of this option upon the terms and conditions set forth therein.</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13"/>
          <w:szCs w:val="13"/>
          <w:b w:val="1"/>
          <w:bCs w:val="1"/>
          <w:color w:val="auto"/>
        </w:rPr>
        <w:t>yntra</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io</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22"/>
          <w:szCs w:val="22"/>
          <w:color w:val="auto"/>
        </w:rPr>
        <w:t>: 2024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2" w:name="page163"/>
    <w:bookmarkEnd w:id="162"/>
    <w:p>
      <w:pPr>
        <w:ind w:left="4860"/>
        <w:spacing w:after="0"/>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4"/>
          <w:szCs w:val="14"/>
          <w:b w:val="1"/>
          <w:bCs w:val="1"/>
          <w:color w:val="auto"/>
        </w:rPr>
        <w:t>yntra</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2024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 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onstatutory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pproved by</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on</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19, 2025</w:t>
      </w:r>
    </w:p>
    <w:p>
      <w:pPr>
        <w:spacing w:after="0" w:line="200" w:lineRule="exact"/>
        <w:rPr>
          <w:sz w:val="20"/>
          <w:szCs w:val="20"/>
          <w:color w:val="auto"/>
        </w:rPr>
      </w:pPr>
    </w:p>
    <w:p>
      <w:pPr>
        <w:spacing w:after="0" w:line="24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Pursuant to your Stock Option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this Option Agreement, 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an option under its 2024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details of your option, in addition to those set forth in the Grant Notice and the Plan, are as follows:</w:t>
      </w:r>
    </w:p>
    <w:p>
      <w:pPr>
        <w:spacing w:after="0" w:line="202" w:lineRule="exact"/>
        <w:rPr>
          <w:sz w:val="20"/>
          <w:szCs w:val="20"/>
          <w:color w:val="auto"/>
        </w:rPr>
      </w:pPr>
    </w:p>
    <w:p>
      <w:pPr>
        <w:ind w:right="20" w:firstLine="757"/>
        <w:spacing w:after="0" w:line="262" w:lineRule="auto"/>
        <w:tabs>
          <w:tab w:leader="none" w:pos="1018"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Subject to the provisions contained herein, your option will vest as provided in your Grant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will cease upon the termination of your Continuous Service.</w:t>
      </w:r>
    </w:p>
    <w:p>
      <w:pPr>
        <w:spacing w:after="0" w:line="149"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shares of Common Stock subject to your option and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price per share in your Grant Notice will be adjusted for Capitalization Adjustments.</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estriction for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xempt</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an Employee eligible for overtime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Fair Labor Standards Act of 1938, as amended (that is, a “</w:t>
      </w:r>
      <w:r>
        <w:rPr>
          <w:rFonts w:ascii="Times New Roman" w:cs="Times New Roman" w:eastAsia="Times New Roman" w:hAnsi="Times New Roman"/>
          <w:sz w:val="22"/>
          <w:szCs w:val="22"/>
          <w:b w:val="1"/>
          <w:bCs w:val="1"/>
          <w:i w:val="1"/>
          <w:iCs w:val="1"/>
          <w:color w:val="auto"/>
        </w:rPr>
        <w:t>Non-Exempt Employee</w:t>
      </w:r>
      <w:r>
        <w:rPr>
          <w:rFonts w:ascii="Times New Roman" w:cs="Times New Roman" w:eastAsia="Times New Roman" w:hAnsi="Times New Roman"/>
          <w:sz w:val="22"/>
          <w:szCs w:val="22"/>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 prior to</w:t>
      </w:r>
      <w:r>
        <w:rPr>
          <w:rFonts w:ascii="Times New Roman" w:cs="Times New Roman" w:eastAsia="Times New Roman" w:hAnsi="Times New Roman"/>
          <w:sz w:val="22"/>
          <w:szCs w:val="22"/>
          <w:b w:val="1"/>
          <w:bCs w:val="1"/>
          <w:color w:val="auto"/>
        </w:rPr>
        <w:t xml:space="preserve"> 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permitted in your Grant Notice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“Exercise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3" w:name="page164"/>
    <w:bookmarkEnd w:id="163"/>
    <w:p>
      <w:pPr>
        <w:ind w:left="-757" w:right="20" w:firstLine="1505"/>
        <w:spacing w:after="0" w:line="258" w:lineRule="auto"/>
        <w:tabs>
          <w:tab w:leader="none" w:pos="1280" w:val="left"/>
        </w:tabs>
        <w:numPr>
          <w:ilvl w:val="1"/>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partial exercise of your option will be deemed to cover first vested shares of Common Stock and then the earliest vesting installment of unvested shares of Common Stock;</w:t>
      </w:r>
    </w:p>
    <w:p>
      <w:pPr>
        <w:spacing w:after="0" w:line="158" w:lineRule="exact"/>
        <w:rPr>
          <w:rFonts w:ascii="Times New Roman" w:cs="Times New Roman" w:eastAsia="Times New Roman" w:hAnsi="Times New Roman"/>
          <w:sz w:val="22"/>
          <w:szCs w:val="22"/>
          <w:b w:val="1"/>
          <w:bCs w:val="1"/>
          <w:color w:val="auto"/>
        </w:rPr>
      </w:pPr>
    </w:p>
    <w:p>
      <w:pPr>
        <w:jc w:val="both"/>
        <w:ind w:left="-757" w:firstLine="1505"/>
        <w:spacing w:after="0" w:line="244" w:lineRule="auto"/>
        <w:tabs>
          <w:tab w:leader="none" w:pos="1280" w:val="left"/>
        </w:tabs>
        <w:numPr>
          <w:ilvl w:val="1"/>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173" w:lineRule="exact"/>
        <w:rPr>
          <w:rFonts w:ascii="Times New Roman" w:cs="Times New Roman" w:eastAsia="Times New Roman" w:hAnsi="Times New Roman"/>
          <w:sz w:val="22"/>
          <w:szCs w:val="22"/>
          <w:b w:val="1"/>
          <w:bCs w:val="1"/>
          <w:color w:val="auto"/>
        </w:rPr>
      </w:pPr>
    </w:p>
    <w:p>
      <w:pPr>
        <w:ind w:left="-757" w:right="20" w:firstLine="1505"/>
        <w:spacing w:after="0" w:line="258" w:lineRule="auto"/>
        <w:tabs>
          <w:tab w:leader="none" w:pos="1280" w:val="left"/>
        </w:tabs>
        <w:numPr>
          <w:ilvl w:val="1"/>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will enter into the Company’s form of Early Exercise Stock Purchase Agreement with a vesting schedule that will result in the same vesting as if no early exercise had occurred; and</w:t>
      </w:r>
    </w:p>
    <w:p>
      <w:pPr>
        <w:spacing w:after="0" w:line="158" w:lineRule="exact"/>
        <w:rPr>
          <w:rFonts w:ascii="Times New Roman" w:cs="Times New Roman" w:eastAsia="Times New Roman" w:hAnsi="Times New Roman"/>
          <w:sz w:val="22"/>
          <w:szCs w:val="22"/>
          <w:b w:val="1"/>
          <w:bCs w:val="1"/>
          <w:color w:val="auto"/>
        </w:rPr>
      </w:pPr>
    </w:p>
    <w:p>
      <w:pPr>
        <w:jc w:val="both"/>
        <w:ind w:left="-757" w:firstLine="1505"/>
        <w:spacing w:after="0" w:line="238" w:lineRule="auto"/>
        <w:tabs>
          <w:tab w:leader="none" w:pos="1280" w:val="left"/>
        </w:tabs>
        <w:numPr>
          <w:ilvl w:val="1"/>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172" w:lineRule="exact"/>
        <w:rPr>
          <w:rFonts w:ascii="Times New Roman" w:cs="Times New Roman" w:eastAsia="Times New Roman" w:hAnsi="Times New Roman"/>
          <w:sz w:val="22"/>
          <w:szCs w:val="22"/>
          <w:b w:val="1"/>
          <w:bCs w:val="1"/>
          <w:color w:val="auto"/>
        </w:rPr>
      </w:pPr>
    </w:p>
    <w:p>
      <w:pPr>
        <w:jc w:val="both"/>
        <w:ind w:left="-757" w:firstLine="757"/>
        <w:spacing w:after="0" w:line="246" w:lineRule="auto"/>
        <w:tabs>
          <w:tab w:leader="none" w:pos="261"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ethod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must pay the full amount of the exercise price for the shares you wish to exercise.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pay the exercise price in cash or by check, bank draft or money order payable to the Company or in any other manner permitted by your Grant Notice, which may include one or more of the following:</w:t>
      </w:r>
    </w:p>
    <w:p>
      <w:pPr>
        <w:spacing w:after="0" w:line="171" w:lineRule="exact"/>
        <w:rPr>
          <w:rFonts w:ascii="Times New Roman" w:cs="Times New Roman" w:eastAsia="Times New Roman" w:hAnsi="Times New Roman"/>
          <w:sz w:val="22"/>
          <w:szCs w:val="22"/>
          <w:b w:val="1"/>
          <w:bCs w:val="1"/>
          <w:color w:val="auto"/>
        </w:rPr>
      </w:pPr>
    </w:p>
    <w:p>
      <w:pPr>
        <w:jc w:val="both"/>
        <w:ind w:left="-757" w:firstLine="1505"/>
        <w:spacing w:after="0" w:line="238" w:lineRule="auto"/>
        <w:tabs>
          <w:tab w:leader="none" w:pos="1280" w:val="left"/>
        </w:tabs>
        <w:numPr>
          <w:ilvl w:val="1"/>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76" w:lineRule="exact"/>
        <w:rPr>
          <w:rFonts w:ascii="Times New Roman" w:cs="Times New Roman" w:eastAsia="Times New Roman" w:hAnsi="Times New Roman"/>
          <w:sz w:val="22"/>
          <w:szCs w:val="22"/>
          <w:b w:val="1"/>
          <w:bCs w:val="1"/>
          <w:color w:val="auto"/>
        </w:rPr>
      </w:pPr>
    </w:p>
    <w:p>
      <w:pPr>
        <w:jc w:val="both"/>
        <w:ind w:left="-757" w:firstLine="1505"/>
        <w:spacing w:after="0" w:line="235" w:lineRule="auto"/>
        <w:tabs>
          <w:tab w:leader="none" w:pos="1280" w:val="left"/>
        </w:tabs>
        <w:numPr>
          <w:ilvl w:val="1"/>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83" w:lineRule="exact"/>
        <w:rPr>
          <w:rFonts w:ascii="Times New Roman" w:cs="Times New Roman" w:eastAsia="Times New Roman" w:hAnsi="Times New Roman"/>
          <w:sz w:val="22"/>
          <w:szCs w:val="22"/>
          <w:b w:val="1"/>
          <w:bCs w:val="1"/>
          <w:color w:val="auto"/>
        </w:rPr>
      </w:pPr>
    </w:p>
    <w:p>
      <w:pPr>
        <w:jc w:val="both"/>
        <w:ind w:left="-757" w:firstLine="1505"/>
        <w:spacing w:after="0" w:line="238" w:lineRule="auto"/>
        <w:tabs>
          <w:tab w:leader="none" w:pos="1280" w:val="left"/>
        </w:tabs>
        <w:numPr>
          <w:ilvl w:val="1"/>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1008380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64" w:name="page165"/>
    <w:bookmarkEnd w:id="164"/>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69" w:lineRule="exact"/>
        <w:rPr>
          <w:sz w:val="20"/>
          <w:szCs w:val="20"/>
          <w:color w:val="auto"/>
        </w:rPr>
      </w:pPr>
    </w:p>
    <w:p>
      <w:pPr>
        <w:ind w:left="1020" w:hanging="263"/>
        <w:spacing w:after="0"/>
        <w:tabs>
          <w:tab w:leader="none" w:pos="102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hole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exercise your option only for whole shares of Common Stock.</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may you exercise your option unless the shares of Common Stock issuable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75"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not exercise your option before the Date of Grant or after the expiration of the option’s term.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of your option expires, subject to the provisions of Section 5(h) of the Plan, upon the earliest of the following:</w:t>
      </w:r>
    </w:p>
    <w:p>
      <w:pPr>
        <w:spacing w:after="0" w:line="15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immediately upon the date on which the event giving rise to your termination of Continuous Service for Cause occurs (or, if required by law, the date of termination of Continuous Service for Cause);</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three (3)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83" w:lineRule="exact"/>
        <w:rPr>
          <w:rFonts w:ascii="Times New Roman" w:cs="Times New Roman" w:eastAsia="Times New Roman" w:hAnsi="Times New Roman"/>
          <w:sz w:val="21"/>
          <w:szCs w:val="21"/>
          <w:b w:val="1"/>
          <w:bCs w:val="1"/>
          <w:color w:val="auto"/>
        </w:rPr>
      </w:pPr>
    </w:p>
    <w:p>
      <w:pPr>
        <w:ind w:firstLine="1505"/>
        <w:spacing w:after="0" w:line="258" w:lineRule="auto"/>
        <w:tabs>
          <w:tab w:leader="none" w:pos="2036" w:val="left"/>
        </w:tabs>
        <w:numPr>
          <w:ilvl w:val="1"/>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twelve (12) months after the termination of your Continuous Service due to your Disability (except as otherwise provided in Section 8(d))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ind w:firstLine="1505"/>
        <w:spacing w:after="0" w:line="258" w:lineRule="auto"/>
        <w:tabs>
          <w:tab w:leader="none" w:pos="2036"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eighteen (18) months after your death if you die either during your Continuous Service or within three (3) months after your Continuous Service terminates for any reason other than Cause or Disability;</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Expiration Date indicated in your Grant Notice; or</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day before the tenth (10th) anniversary of the Date of Grant.</w:t>
      </w:r>
    </w:p>
    <w:p>
      <w:pPr>
        <w:spacing w:after="0" w:line="20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66" w:lineRule="exact"/>
        <w:rPr>
          <w:sz w:val="20"/>
          <w:szCs w:val="20"/>
          <w:color w:val="auto"/>
        </w:rPr>
      </w:pPr>
    </w:p>
    <w:p>
      <w:pPr>
        <w:ind w:left="1020" w:hanging="263"/>
        <w:spacing w:after="0"/>
        <w:tabs>
          <w:tab w:leader="none" w:pos="10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pon a</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 Change in Control (as defined in the Plan, except as set forth in Section 9(c) below), if your option is assumed, continued or otherwise substituted in the Change in Control, and your employment is involuntarily terminated by the Company or its successor corporation without Cause (and other than due to your death or disability) within twelve (12) months following the consummation of the Change in Control, or if you terminate your employment due to a Constructive Termination (as defined below) within twelve (12) months following the consummation of the Change in Control, the vesting and exercisability of the unvested portion of your option will accelerate in full on the date of your termination. Notwithstanding the foregoing, in the event of a Change in Control, if your option is not assumed, continued or otherwise substituted in the Change in Control transaction, the unvested portion of your option will vest and become exercisable as of immediately prior to the consummation of the Change in Control.</w:t>
      </w:r>
    </w:p>
    <w:p>
      <w:pPr>
        <w:spacing w:after="0" w:line="177" w:lineRule="exact"/>
        <w:rPr>
          <w:rFonts w:ascii="Times New Roman" w:cs="Times New Roman" w:eastAsia="Times New Roman" w:hAnsi="Times New Roman"/>
          <w:sz w:val="22"/>
          <w:szCs w:val="22"/>
          <w:b w:val="1"/>
          <w:bCs w:val="1"/>
          <w:color w:val="auto"/>
        </w:rPr>
      </w:pPr>
    </w:p>
    <w:p>
      <w:pPr>
        <w:ind w:right="20" w:firstLine="1505"/>
        <w:spacing w:after="0" w:line="264" w:lineRule="auto"/>
        <w:tabs>
          <w:tab w:leader="none" w:pos="2036" w:val="left"/>
        </w:tabs>
        <w:numPr>
          <w:ilvl w:val="1"/>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Constructive Termination</w:t>
      </w:r>
      <w:r>
        <w:rPr>
          <w:rFonts w:ascii="Times New Roman" w:cs="Times New Roman" w:eastAsia="Times New Roman" w:hAnsi="Times New Roman"/>
          <w:sz w:val="22"/>
          <w:szCs w:val="22"/>
          <w:color w:val="auto"/>
        </w:rPr>
        <w:t>” means your termination of employment following the occurrence, without your written consent, of any one of the following events:</w:t>
      </w:r>
    </w:p>
    <w:p>
      <w:pPr>
        <w:spacing w:after="0" w:line="151"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 xml:space="preserve">a substantial reduction in your duties or responsibilities (and not simply a change in title or reporting relationships) in effect immediately prior to the effective date of the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it shall not be a “Constructive Termination” if the Company is retained as a separate legal entity or business unit following the effective date of the Change in Control and you hold the same position in such legal entity or business unit as you held before the effective date of the Change in Control;</w:t>
      </w:r>
    </w:p>
    <w:p>
      <w:pPr>
        <w:spacing w:after="0" w:line="177" w:lineRule="exact"/>
        <w:rPr>
          <w:sz w:val="20"/>
          <w:szCs w:val="20"/>
          <w:color w:val="auto"/>
        </w:rPr>
      </w:pPr>
    </w:p>
    <w:p>
      <w:pPr>
        <w:jc w:val="both"/>
        <w:ind w:right="20" w:firstLine="2246"/>
        <w:spacing w:after="0" w:line="244" w:lineRule="auto"/>
        <w:rPr>
          <w:sz w:val="20"/>
          <w:szCs w:val="20"/>
          <w:color w:val="auto"/>
        </w:rPr>
      </w:pPr>
      <w:r>
        <w:rPr>
          <w:rFonts w:ascii="Times New Roman" w:cs="Times New Roman" w:eastAsia="Times New Roman" w:hAnsi="Times New Roman"/>
          <w:sz w:val="22"/>
          <w:szCs w:val="22"/>
          <w:color w:val="auto"/>
        </w:rPr>
        <w:t>a material reduction by the Company (or its successor corporation) in your annual base salary, as in effect on the effective date of the Change in Control or as increased thereafter; any failure by the Company (or its successor corporation) to continue in effect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spacing w:after="0" w:line="244" w:lineRule="auto"/>
        <w:rPr>
          <w:sz w:val="20"/>
          <w:szCs w:val="20"/>
          <w:color w:val="auto"/>
        </w:rPr>
      </w:pPr>
      <w:r>
        <w:rPr>
          <w:rFonts w:ascii="Times New Roman" w:cs="Times New Roman" w:eastAsia="Times New Roman" w:hAnsi="Times New Roman"/>
          <w:sz w:val="22"/>
          <w:szCs w:val="22"/>
          <w:color w:val="auto"/>
        </w:rPr>
        <w:t>benefit plan or program, including incentive plans or plans with respect to the receipt of securities of the Company, in which you were participating immediately prior to the effective date of the Change in Control (hereinafter referred to as “</w:t>
      </w:r>
      <w:r>
        <w:rPr>
          <w:rFonts w:ascii="Times New Roman" w:cs="Times New Roman" w:eastAsia="Times New Roman" w:hAnsi="Times New Roman"/>
          <w:sz w:val="22"/>
          <w:szCs w:val="22"/>
          <w:b w:val="1"/>
          <w:bCs w:val="1"/>
          <w:i w:val="1"/>
          <w:iCs w:val="1"/>
          <w:color w:val="auto"/>
        </w:rPr>
        <w:t>Benefit Plans</w:t>
      </w:r>
      <w:r>
        <w:rPr>
          <w:rFonts w:ascii="Times New Roman" w:cs="Times New Roman" w:eastAsia="Times New Roman" w:hAnsi="Times New Roman"/>
          <w:sz w:val="22"/>
          <w:szCs w:val="22"/>
          <w:color w:val="auto"/>
        </w:rPr>
        <w:t>”), or the taking of any action</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by the Company (or its successor corporation) that would adversely affect your participation in or reduce your benefits under the Benefit Plans or deprive you of any fringe benefit that you enjoyed immediately prior to the effective date of the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Constructive Termination shall not be deemed to have occurred if the Company (or its successor corporation) provides for your participation in benefit plans and programs that, taken as a whole, are comparable to the Benefit Plans;</w:t>
      </w:r>
    </w:p>
    <w:p>
      <w:pPr>
        <w:spacing w:after="0" w:line="177"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a relocation of your business office location more than fifty (50) miles from the location at which you performed your duties as of the effective date of the Change in Control, except for required travel by you on the Company’s (or its successor corporation’s) business to an extent substantially consistent with your business travel obligations prior to the effective date of the Change in Control; or</w:t>
      </w:r>
    </w:p>
    <w:p>
      <w:pPr>
        <w:spacing w:after="0" w:line="180"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a material breach by the Company (or its successor corporation) of any provision of any material agreement between you and the Company concerning the terms and conditions of your employment.</w:t>
      </w:r>
    </w:p>
    <w:p>
      <w:pPr>
        <w:spacing w:after="0" w:line="158"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For purposes of this Agreement, notwithstanding anything to the contrary contained in the Plan, the term “Change in Control” shall be defined as in the Plan, except that the term shall not include the implementation of anti-takeover measures, including, without limitation, a recapitalization or reorganization of the Company’s capital structure, whether by merger, amendment of the Company’s certificate of incorporation or certificate(s) of designations, or otherwise, solely for the purposes of the implementation of a dual class stock structure, in which one class of securities has greater voting power on matters involving a change of control and other related issues, irrespective of (i) whether such anti-takeover measure includes a voting agreement or a proxy with respect to the Company’s shares; or (ii) whether such recapitalization, reorganization or anti-takeover measure results in a change in Ownership of greater than fifty percent (50%) of the total voting power of the Company.</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8" w:lineRule="auto"/>
        <w:tabs>
          <w:tab w:leader="none" w:pos="2036"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spacing w:after="0" w:line="258" w:lineRule="auto"/>
        <w:rPr>
          <w:sz w:val="20"/>
          <w:szCs w:val="20"/>
          <w:color w:val="auto"/>
        </w:rPr>
      </w:pPr>
      <w:r>
        <w:rPr>
          <w:rFonts w:ascii="Times New Roman" w:cs="Times New Roman" w:eastAsia="Times New Roman" w:hAnsi="Times New Roman"/>
          <w:sz w:val="22"/>
          <w:szCs w:val="22"/>
          <w:color w:val="auto"/>
        </w:rPr>
        <w:t>of Common Stock are subject at the time of exercise, or (iii) the disposition of shares of Common Stock acquired upon such exercise.</w:t>
      </w:r>
    </w:p>
    <w:p>
      <w:pPr>
        <w:spacing w:after="0" w:line="158" w:lineRule="exact"/>
        <w:rPr>
          <w:sz w:val="20"/>
          <w:szCs w:val="20"/>
          <w:color w:val="auto"/>
        </w:rPr>
      </w:pPr>
    </w:p>
    <w:p>
      <w:pPr>
        <w:jc w:val="both"/>
        <w:ind w:firstLine="1505"/>
        <w:spacing w:after="0" w:line="239" w:lineRule="auto"/>
        <w:tabs>
          <w:tab w:leader="none" w:pos="2036"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17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this Section 11, your option is not transferable, except by will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laws of descent and distribution, and is exercisable during your life only by you.</w:t>
      </w:r>
    </w:p>
    <w:p>
      <w:pPr>
        <w:spacing w:after="0" w:line="150" w:lineRule="exact"/>
        <w:rPr>
          <w:sz w:val="20"/>
          <w:szCs w:val="20"/>
          <w:color w:val="auto"/>
        </w:rPr>
      </w:pPr>
    </w:p>
    <w:p>
      <w:pPr>
        <w:jc w:val="both"/>
        <w:ind w:firstLine="1505"/>
        <w:spacing w:after="0" w:line="241" w:lineRule="auto"/>
        <w:tabs>
          <w:tab w:leader="none" w:pos="2036"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Certain Trusts. </w:t>
      </w:r>
      <w:r>
        <w:rPr>
          <w:rFonts w:ascii="Times New Roman" w:cs="Times New Roman" w:eastAsia="Times New Roman" w:hAnsi="Times New Roman"/>
          <w:sz w:val="22"/>
          <w:szCs w:val="22"/>
          <w:color w:val="auto"/>
        </w:rPr>
        <w:t>Upon receiving written permission from the Board or its duly authorized designee,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Domestic Relations Orders. </w:t>
      </w:r>
      <w:r>
        <w:rPr>
          <w:rFonts w:ascii="Times New Roman" w:cs="Times New Roman" w:eastAsia="Times New Roman" w:hAnsi="Times New Roman"/>
          <w:sz w:val="22"/>
          <w:szCs w:val="22"/>
          <w:color w:val="auto"/>
        </w:rPr>
        <w:t>Upon receiving written permission from the Board or its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78"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Upon receiving written permission from the Board or its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12.O</w:t>
      </w:r>
      <w:r>
        <w:rPr>
          <w:rFonts w:ascii="Times New Roman" w:cs="Times New Roman" w:eastAsia="Times New Roman" w:hAnsi="Times New Roman"/>
          <w:sz w:val="14"/>
          <w:szCs w:val="14"/>
          <w:b w:val="1"/>
          <w:bCs w:val="1"/>
          <w:color w:val="auto"/>
        </w:rPr>
        <w:t>ption not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is not an employment or service contract, and nothing in your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ind w:left="760"/>
        <w:spacing w:after="0"/>
        <w:rPr>
          <w:sz w:val="20"/>
          <w:szCs w:val="20"/>
          <w:color w:val="auto"/>
        </w:rPr>
      </w:pPr>
      <w:r>
        <w:rPr>
          <w:rFonts w:ascii="Times New Roman" w:cs="Times New Roman" w:eastAsia="Times New Roman" w:hAnsi="Times New Roman"/>
          <w:sz w:val="22"/>
          <w:szCs w:val="22"/>
          <w:b w:val="1"/>
          <w:bCs w:val="1"/>
          <w:color w:val="auto"/>
        </w:rPr>
        <w:t>13.W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2036"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14.T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22"/>
          <w:szCs w:val="22"/>
          <w:color w:val="auto"/>
        </w:rPr>
        <w:t>. You hereby agree that the Company does not have a duty to design or administer the Plan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15.N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provided for in your option or the Plan will be given in writing (including electronically)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effectively given upon receipt or, in the case of notices delivered by mail by the Company to you, five (5) days after deposit in the United States mail, postage prepaid, addressed to you at the last address you provided to the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9" w:name="page170"/>
    <w:bookmarkEnd w:id="169"/>
    <w:p>
      <w:pPr>
        <w:jc w:val="both"/>
        <w:spacing w:after="0" w:line="239" w:lineRule="auto"/>
        <w:rPr>
          <w:sz w:val="20"/>
          <w:szCs w:val="20"/>
          <w:color w:val="auto"/>
        </w:rPr>
      </w:pPr>
      <w:r>
        <w:rPr>
          <w:rFonts w:ascii="Times New Roman" w:cs="Times New Roman" w:eastAsia="Times New Roman" w:hAnsi="Times New Roman"/>
          <w:sz w:val="22"/>
          <w:szCs w:val="22"/>
          <w:color w:val="auto"/>
        </w:rPr>
        <w:t>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16.G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is subject to all the provisions of the Plan, the provisions of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17.O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color w:val="auto"/>
        </w:rPr>
        <w:t>. You hereby acknowledge receipt of and the right to receive a document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18.E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22"/>
          <w:szCs w:val="22"/>
          <w:color w:val="auto"/>
        </w:rPr>
        <w:t>. The value of this option will not be included as compensation, earnings,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19.VOTING RIGHTS </w:t>
      </w:r>
      <w:r>
        <w:rPr>
          <w:rFonts w:ascii="Times New Roman" w:cs="Times New Roman" w:eastAsia="Times New Roman" w:hAnsi="Times New Roman"/>
          <w:sz w:val="22"/>
          <w:szCs w:val="22"/>
          <w:color w:val="auto"/>
        </w:rPr>
        <w:t>. You will not have voting or any other rights as a stockholder of the Company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20.S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color w:val="auto"/>
        </w:rPr>
        <w:t>. If all or any part of this Option Agreement or the Plan is declared by any court or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21.M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4" w:lineRule="auto"/>
        <w:tabs>
          <w:tab w:leader="none" w:pos="2036"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ind w:firstLine="1505"/>
        <w:spacing w:after="0" w:line="258" w:lineRule="auto"/>
        <w:tabs>
          <w:tab w:leader="none" w:pos="2036"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option.</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Option Agreement will be subject to all applicable laws, rules, and regulations, and to such approvals by any governmental agencies or national securities exchanges as may be required.</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5" w:lineRule="exact"/>
        <w:rPr>
          <w:rFonts w:ascii="Times New Roman" w:cs="Times New Roman" w:eastAsia="Times New Roman" w:hAnsi="Times New Roman"/>
          <w:sz w:val="22"/>
          <w:szCs w:val="22"/>
          <w:b w:val="1"/>
          <w:bCs w:val="1"/>
          <w:color w:val="auto"/>
        </w:rPr>
      </w:pPr>
    </w:p>
    <w:p>
      <w:pPr>
        <w:ind w:left="51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Option Agreement will be deemed to be signed by you upon your physical 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digital signature of the attached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4491990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36"/>
          <w:szCs w:val="36"/>
          <w:color w:val="auto"/>
        </w:rPr>
        <w:t>NOTICE OF EXERCISE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Kyntra Bio,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Stock Plan Administrator</w:t>
      </w:r>
    </w:p>
    <w:p>
      <w:pPr>
        <w:spacing w:after="0"/>
        <w:rPr>
          <w:sz w:val="20"/>
          <w:szCs w:val="20"/>
          <w:color w:val="auto"/>
        </w:rPr>
      </w:pPr>
      <w:r>
        <w:rPr>
          <w:rFonts w:ascii="Times New Roman" w:cs="Times New Roman" w:eastAsia="Times New Roman" w:hAnsi="Times New Roman"/>
          <w:sz w:val="22"/>
          <w:szCs w:val="22"/>
          <w:color w:val="auto"/>
        </w:rPr>
        <w:t>350 Bay Street, Suite 100 #6009, San Francisco, CA 94133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Exercise: _______________</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This constitutes notice to Kyntra Bio, Inc. (the “Company”) under my stock option that I elect to purchase the below number of shares of Common Stock of the Company (the “Shares”) for the price set forth below.</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Stock option dated:</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Grant Number:</w:t>
      </w:r>
    </w:p>
    <w:p>
      <w:pPr>
        <w:ind w:left="100"/>
        <w:spacing w:after="0"/>
        <w:rPr>
          <w:sz w:val="20"/>
          <w:szCs w:val="20"/>
          <w:color w:val="auto"/>
        </w:rPr>
      </w:pPr>
      <w:r>
        <w:rPr>
          <w:rFonts w:ascii="Times New Roman" w:cs="Times New Roman" w:eastAsia="Times New Roman" w:hAnsi="Times New Roman"/>
          <w:sz w:val="21"/>
          <w:szCs w:val="21"/>
          <w:color w:val="auto"/>
        </w:rPr>
        <w:t>Number of Shares as to which option is exercised:</w:t>
      </w:r>
    </w:p>
    <w:p>
      <w:pPr>
        <w:ind w:left="100"/>
        <w:spacing w:after="0" w:line="231" w:lineRule="auto"/>
        <w:rPr>
          <w:sz w:val="20"/>
          <w:szCs w:val="20"/>
          <w:color w:val="auto"/>
        </w:rPr>
      </w:pPr>
      <w:r>
        <w:rPr>
          <w:rFonts w:ascii="Times New Roman" w:cs="Times New Roman" w:eastAsia="Times New Roman" w:hAnsi="Times New Roman"/>
          <w:sz w:val="22"/>
          <w:szCs w:val="22"/>
          <w:color w:val="auto"/>
        </w:rPr>
        <w:t>Total exercise price:</w:t>
      </w:r>
    </w:p>
    <w:p>
      <w:pPr>
        <w:ind w:left="100"/>
        <w:spacing w:after="0" w:line="231" w:lineRule="auto"/>
        <w:rPr>
          <w:sz w:val="20"/>
          <w:szCs w:val="20"/>
          <w:color w:val="auto"/>
        </w:rPr>
      </w:pPr>
      <w:r>
        <w:rPr>
          <w:rFonts w:ascii="Times New Roman" w:cs="Times New Roman" w:eastAsia="Times New Roman" w:hAnsi="Times New Roman"/>
          <w:sz w:val="22"/>
          <w:szCs w:val="22"/>
          <w:color w:val="auto"/>
        </w:rPr>
        <w:t>Broker:</w:t>
      </w:r>
    </w:p>
    <w:p>
      <w:pPr>
        <w:ind w:left="100"/>
        <w:spacing w:after="0" w:line="231" w:lineRule="auto"/>
        <w:rPr>
          <w:sz w:val="20"/>
          <w:szCs w:val="20"/>
          <w:color w:val="auto"/>
        </w:rPr>
      </w:pPr>
      <w:r>
        <w:rPr>
          <w:rFonts w:ascii="Times New Roman" w:cs="Times New Roman" w:eastAsia="Times New Roman" w:hAnsi="Times New Roman"/>
          <w:sz w:val="22"/>
          <w:szCs w:val="22"/>
          <w:color w:val="auto"/>
        </w:rPr>
        <w:t>Broker Contact Information:</w:t>
      </w:r>
    </w:p>
    <w:p>
      <w:pPr>
        <w:ind w:left="100"/>
        <w:spacing w:after="0"/>
        <w:rPr>
          <w:sz w:val="20"/>
          <w:szCs w:val="20"/>
          <w:color w:val="auto"/>
        </w:rPr>
      </w:pPr>
      <w:r>
        <w:rPr>
          <w:rFonts w:ascii="Times New Roman" w:cs="Times New Roman" w:eastAsia="Times New Roman" w:hAnsi="Times New Roman"/>
          <w:sz w:val="22"/>
          <w:szCs w:val="22"/>
          <w:color w:val="auto"/>
        </w:rPr>
        <w:t>DTC number: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11" w:lineRule="exact"/>
        <w:rPr>
          <w:sz w:val="20"/>
          <w:szCs w:val="20"/>
          <w:color w:val="auto"/>
        </w:rPr>
      </w:pPr>
    </w:p>
    <w:p>
      <w:pPr>
        <w:sectPr>
          <w:pgSz w:w="11900" w:h="16838" w:orient="portrait"/>
          <w:cols w:equalWidth="0" w:num="2">
            <w:col w:w="5000" w:space="720"/>
            <w:col w:w="5520"/>
          </w:cols>
          <w:pgMar w:left="320" w:top="1399" w:right="339" w:bottom="1440" w:gutter="0" w:footer="0" w:header="0"/>
          <w:type w:val="continuous"/>
        </w:sectPr>
      </w:pPr>
    </w:p>
    <w:p>
      <w:pPr>
        <w:spacing w:after="0" w:line="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By this exercise, I agree (i) to provide such additional documents as you may require pursuant to the terms of the Kyntra Bio, Inc. 2024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p>
      <w:pPr>
        <w:spacing w:after="0" w:line="1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20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DOPTED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7"/>
          <w:szCs w:val="17"/>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IRECTORS</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7"/>
          <w:szCs w:val="17"/>
          <w:b w:val="1"/>
          <w:bCs w:val="1"/>
          <w:color w:val="auto"/>
        </w:rPr>
        <w:t>EPTEMBER</w:t>
      </w:r>
      <w:r>
        <w:rPr>
          <w:rFonts w:ascii="Times New Roman" w:cs="Times New Roman" w:eastAsia="Times New Roman" w:hAnsi="Times New Roman"/>
          <w:sz w:val="22"/>
          <w:szCs w:val="22"/>
          <w:b w:val="1"/>
          <w:bCs w:val="1"/>
          <w:color w:val="auto"/>
        </w:rPr>
        <w:t xml:space="preserve"> 09, 2014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TOCKHOLDERS</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7"/>
          <w:szCs w:val="17"/>
          <w:b w:val="1"/>
          <w:bCs w:val="1"/>
          <w:color w:val="auto"/>
        </w:rPr>
        <w:t>EPTEMBER</w:t>
      </w:r>
      <w:r>
        <w:rPr>
          <w:rFonts w:ascii="Times New Roman" w:cs="Times New Roman" w:eastAsia="Times New Roman" w:hAnsi="Times New Roman"/>
          <w:sz w:val="22"/>
          <w:szCs w:val="22"/>
          <w:b w:val="1"/>
          <w:bCs w:val="1"/>
          <w:color w:val="auto"/>
        </w:rPr>
        <w:t xml:space="preserve"> 30, 2014</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IPO D</w:t>
      </w:r>
      <w:r>
        <w:rPr>
          <w:rFonts w:ascii="Times New Roman" w:cs="Times New Roman" w:eastAsia="Times New Roman" w:hAnsi="Times New Roman"/>
          <w:sz w:val="17"/>
          <w:szCs w:val="17"/>
          <w:b w:val="1"/>
          <w:bCs w:val="1"/>
          <w:color w:val="auto"/>
        </w:rPr>
        <w:t>ATE</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FFECTIVE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ATE</w:t>
      </w:r>
      <w:r>
        <w:rPr>
          <w:rFonts w:ascii="Times New Roman" w:cs="Times New Roman" w:eastAsia="Times New Roman" w:hAnsi="Times New Roman"/>
          <w:sz w:val="22"/>
          <w:szCs w:val="22"/>
          <w:b w:val="1"/>
          <w:bCs w:val="1"/>
          <w:color w:val="auto"/>
        </w:rPr>
        <w:t>: November 14, 2014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pproved by</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on</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19, 2025</w:t>
      </w:r>
    </w:p>
    <w:p>
      <w:pPr>
        <w:spacing w:after="0" w:line="200" w:lineRule="exact"/>
        <w:rPr>
          <w:sz w:val="20"/>
          <w:szCs w:val="20"/>
          <w:color w:val="auto"/>
        </w:rPr>
      </w:pPr>
    </w:p>
    <w:p>
      <w:pPr>
        <w:spacing w:after="0" w:line="248" w:lineRule="exact"/>
        <w:rPr>
          <w:sz w:val="20"/>
          <w:szCs w:val="20"/>
          <w:color w:val="auto"/>
        </w:rPr>
      </w:pPr>
    </w:p>
    <w:p>
      <w:pPr>
        <w:ind w:left="580" w:hanging="572"/>
        <w:spacing w:after="0"/>
        <w:tabs>
          <w:tab w:leader="none" w:pos="58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ENERAL</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1160" w:hanging="516"/>
        <w:spacing w:after="0"/>
        <w:tabs>
          <w:tab w:leader="none" w:pos="1160" w:val="left"/>
        </w:tabs>
        <w:numPr>
          <w:ilvl w:val="1"/>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 to and Continuation of Prior Plan.</w:t>
      </w:r>
    </w:p>
    <w:p>
      <w:pPr>
        <w:spacing w:after="0" w:line="210" w:lineRule="exact"/>
        <w:rPr>
          <w:rFonts w:ascii="Times New Roman" w:cs="Times New Roman" w:eastAsia="Times New Roman" w:hAnsi="Times New Roman"/>
          <w:sz w:val="22"/>
          <w:szCs w:val="22"/>
          <w:b w:val="1"/>
          <w:bCs w:val="1"/>
          <w:color w:val="auto"/>
        </w:rPr>
      </w:pPr>
    </w:p>
    <w:p>
      <w:pPr>
        <w:ind w:right="160" w:firstLine="1281"/>
        <w:spacing w:after="0" w:line="239" w:lineRule="auto"/>
        <w:tabs>
          <w:tab w:leader="none" w:pos="1801" w:val="left"/>
        </w:tabs>
        <w:numPr>
          <w:ilvl w:val="2"/>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is the successor to and continuation of the Kyntra Bio Amended and Restated 2005 Stock Plan, as amended (the “</w:t>
      </w:r>
      <w:r>
        <w:rPr>
          <w:rFonts w:ascii="Times New Roman" w:cs="Times New Roman" w:eastAsia="Times New Roman" w:hAnsi="Times New Roman"/>
          <w:sz w:val="22"/>
          <w:szCs w:val="22"/>
          <w:b w:val="1"/>
          <w:bCs w:val="1"/>
          <w:i w:val="1"/>
          <w:iCs w:val="1"/>
          <w:color w:val="auto"/>
        </w:rPr>
        <w:t>Prior Plan</w:t>
      </w:r>
      <w:r>
        <w:rPr>
          <w:rFonts w:ascii="Times New Roman" w:cs="Times New Roman" w:eastAsia="Times New Roman" w:hAnsi="Times New Roman"/>
          <w:sz w:val="22"/>
          <w:szCs w:val="22"/>
          <w:color w:val="auto"/>
        </w:rPr>
        <w:t>”). From and after 12:01 a.m. Pacific time on the Effective Date, no additional stock awards will be granted under the Prior Plan. All stock awards granted under the Prior Plan remain subject to the terms of the Prior Plan. All Awards granted on or after 12:01 a.m. Pacific Time on the Effective Date will be granted under the Plan.</w:t>
      </w:r>
    </w:p>
    <w:p>
      <w:pPr>
        <w:spacing w:after="0" w:line="180" w:lineRule="exact"/>
        <w:rPr>
          <w:rFonts w:ascii="Times New Roman" w:cs="Times New Roman" w:eastAsia="Times New Roman" w:hAnsi="Times New Roman"/>
          <w:sz w:val="22"/>
          <w:szCs w:val="22"/>
          <w:b w:val="1"/>
          <w:bCs w:val="1"/>
          <w:color w:val="auto"/>
        </w:rPr>
      </w:pPr>
    </w:p>
    <w:p>
      <w:pPr>
        <w:ind w:right="120" w:firstLine="1281"/>
        <w:spacing w:after="0" w:line="236" w:lineRule="auto"/>
        <w:tabs>
          <w:tab w:leader="none" w:pos="1807" w:val="left"/>
        </w:tabs>
        <w:numPr>
          <w:ilvl w:val="2"/>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shares that would otherwise remain available for future grants under the Prior Plan as of 12:01 a.m. Pacific Time on the Effective Date ceased to be available under the Prior Plan at such time. Instead, that number of shares of Common Stock equal to the number of shares of Common Stock of the Company then available for future grants under the Prior Plan (the “</w:t>
      </w:r>
      <w:r>
        <w:rPr>
          <w:rFonts w:ascii="Times New Roman" w:cs="Times New Roman" w:eastAsia="Times New Roman" w:hAnsi="Times New Roman"/>
          <w:sz w:val="22"/>
          <w:szCs w:val="22"/>
          <w:b w:val="1"/>
          <w:bCs w:val="1"/>
          <w:i w:val="1"/>
          <w:iCs w:val="1"/>
          <w:color w:val="auto"/>
        </w:rPr>
        <w:t>Prior Plan’s Available Reserve</w:t>
      </w:r>
      <w:r>
        <w:rPr>
          <w:rFonts w:ascii="Times New Roman" w:cs="Times New Roman" w:eastAsia="Times New Roman" w:hAnsi="Times New Roman"/>
          <w:sz w:val="22"/>
          <w:szCs w:val="22"/>
          <w:color w:val="auto"/>
        </w:rPr>
        <w:t>”) was added to the Share Reserve (as further described in Section 3(a) below) and became immediately available for grants and issuance pursuant to Stock Awards under the Plan, up to the maximum number set forth in Section 3(a) below.</w:t>
      </w:r>
    </w:p>
    <w:p>
      <w:pPr>
        <w:spacing w:after="0" w:line="181" w:lineRule="exact"/>
        <w:rPr>
          <w:rFonts w:ascii="Times New Roman" w:cs="Times New Roman" w:eastAsia="Times New Roman" w:hAnsi="Times New Roman"/>
          <w:sz w:val="22"/>
          <w:szCs w:val="22"/>
          <w:b w:val="1"/>
          <w:bCs w:val="1"/>
          <w:color w:val="auto"/>
        </w:rPr>
      </w:pPr>
    </w:p>
    <w:p>
      <w:pPr>
        <w:jc w:val="both"/>
        <w:ind w:right="40" w:firstLine="1281"/>
        <w:spacing w:after="0" w:line="253" w:lineRule="auto"/>
        <w:tabs>
          <w:tab w:leader="none" w:pos="1813" w:val="left"/>
        </w:tabs>
        <w:numPr>
          <w:ilvl w:val="2"/>
          <w:numId w:val="1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From and after 12:01 a.m. Pacific time on the Effective Date, a number of shares of Common Stock equal to the total number of shares of Common Stock subject, at such time, to outstanding stock options granted under the Prior Plan that:</w:t>
      </w:r>
    </w:p>
    <w:p>
      <w:pPr>
        <w:ind w:right="200"/>
        <w:spacing w:after="0" w:line="23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 expire or terminate for any reason prior to exercise or settlement; (B) are forfeited or reacquired because of the failure to meet a contingency or condition required to vest such shares or are repurchased at the original issuance price; or (C) are otherwise reacquired or withheld (or not issued) to satisfy a tax withholding obligation in connection with an award (the “</w:t>
      </w:r>
      <w:r>
        <w:rPr>
          <w:rFonts w:ascii="Times New Roman" w:cs="Times New Roman" w:eastAsia="Times New Roman" w:hAnsi="Times New Roman"/>
          <w:sz w:val="22"/>
          <w:szCs w:val="22"/>
          <w:b w:val="1"/>
          <w:bCs w:val="1"/>
          <w:i w:val="1"/>
          <w:iCs w:val="1"/>
          <w:color w:val="auto"/>
        </w:rPr>
        <w:t>Returning Shares</w:t>
      </w:r>
      <w:r>
        <w:rPr>
          <w:rFonts w:ascii="Times New Roman" w:cs="Times New Roman" w:eastAsia="Times New Roman" w:hAnsi="Times New Roman"/>
          <w:sz w:val="22"/>
          <w:szCs w:val="22"/>
          <w:color w:val="auto"/>
        </w:rPr>
        <w:t>”) will immediately be added to the Share Reserve (as further described in Section 3(a) below) as and when such shares become Returning Shares (up to the maximum number set forth in Section 3(a)), and become available for issuance pursuant to Stock Awards granted hereunder.</w:t>
      </w:r>
    </w:p>
    <w:p>
      <w:pPr>
        <w:spacing w:after="0" w:line="178" w:lineRule="exact"/>
        <w:rPr>
          <w:rFonts w:ascii="Times New Roman" w:cs="Times New Roman" w:eastAsia="Times New Roman" w:hAnsi="Times New Roman"/>
          <w:sz w:val="21"/>
          <w:szCs w:val="21"/>
          <w:b w:val="1"/>
          <w:bCs w:val="1"/>
          <w:color w:val="auto"/>
        </w:rPr>
      </w:pPr>
    </w:p>
    <w:p>
      <w:pPr>
        <w:ind w:left="1120" w:hanging="476"/>
        <w:spacing w:after="0"/>
        <w:tabs>
          <w:tab w:leader="none" w:pos="1120" w:val="left"/>
        </w:tabs>
        <w:numPr>
          <w:ilvl w:val="1"/>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Eligible Award Recipients. Employees, </w:t>
      </w:r>
      <w:r>
        <w:rPr>
          <w:rFonts w:ascii="Times New Roman" w:cs="Times New Roman" w:eastAsia="Times New Roman" w:hAnsi="Times New Roman"/>
          <w:sz w:val="22"/>
          <w:szCs w:val="22"/>
          <w:color w:val="auto"/>
        </w:rPr>
        <w:t>Directors and Consultants are eligible to receive Awards.</w:t>
      </w:r>
    </w:p>
    <w:p>
      <w:pPr>
        <w:spacing w:after="0" w:line="206" w:lineRule="exact"/>
        <w:rPr>
          <w:rFonts w:ascii="Times New Roman" w:cs="Times New Roman" w:eastAsia="Times New Roman" w:hAnsi="Times New Roman"/>
          <w:sz w:val="22"/>
          <w:szCs w:val="22"/>
          <w:b w:val="1"/>
          <w:bCs w:val="1"/>
          <w:color w:val="auto"/>
        </w:rPr>
      </w:pPr>
    </w:p>
    <w:p>
      <w:pPr>
        <w:ind w:right="60" w:firstLine="644"/>
        <w:spacing w:after="0" w:line="246" w:lineRule="auto"/>
        <w:tabs>
          <w:tab w:leader="none" w:pos="1092" w:val="left"/>
        </w:tabs>
        <w:numPr>
          <w:ilvl w:val="1"/>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Available Awards. </w:t>
      </w:r>
      <w:r>
        <w:rPr>
          <w:rFonts w:ascii="Times New Roman" w:cs="Times New Roman" w:eastAsia="Times New Roman" w:hAnsi="Times New Roman"/>
          <w:sz w:val="22"/>
          <w:szCs w:val="22"/>
          <w:color w:val="auto"/>
        </w:rPr>
        <w:t>The Plan provides for the grant of the following Awards: (i) Incentive Stock Options,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Nonstatutory Stock Options, (iii) Stock Appreciation Rights (iv) Restricted Stock Awards, (v) Restricted Stock Unit Awards, (vi) Performance Stock Awards, (vii) Performance Cash Awards, and (viii) Other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3" w:name="page174"/>
    <w:bookmarkEnd w:id="173"/>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60" w:firstLine="644"/>
        <w:spacing w:after="0" w:line="263" w:lineRule="auto"/>
        <w:tabs>
          <w:tab w:leader="none" w:pos="1116" w:val="left"/>
        </w:tabs>
        <w:numPr>
          <w:ilvl w:val="1"/>
          <w:numId w:val="1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Purpose. </w:t>
      </w:r>
      <w:r>
        <w:rPr>
          <w:rFonts w:ascii="Times New Roman" w:cs="Times New Roman" w:eastAsia="Times New Roman" w:hAnsi="Times New Roman"/>
          <w:sz w:val="21"/>
          <w:szCs w:val="21"/>
          <w:color w:val="auto"/>
        </w:rPr>
        <w:t>The Plan, through the granting of Awards, is intended to help the Company secure and retain the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78" w:lineRule="exact"/>
        <w:rPr>
          <w:rFonts w:ascii="Times New Roman" w:cs="Times New Roman" w:eastAsia="Times New Roman" w:hAnsi="Times New Roman"/>
          <w:sz w:val="21"/>
          <w:szCs w:val="21"/>
          <w:b w:val="1"/>
          <w:bCs w:val="1"/>
          <w:color w:val="auto"/>
        </w:rPr>
      </w:pPr>
    </w:p>
    <w:p>
      <w:pPr>
        <w:ind w:left="580" w:hanging="572"/>
        <w:spacing w:after="0"/>
        <w:tabs>
          <w:tab w:leader="none" w:pos="58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DMINISTRATION</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right="140" w:firstLine="644"/>
        <w:spacing w:after="0" w:line="262" w:lineRule="auto"/>
        <w:tabs>
          <w:tab w:leader="none" w:pos="1104"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Administration by Board. </w:t>
      </w:r>
      <w:r>
        <w:rPr>
          <w:rFonts w:ascii="Times New Roman" w:cs="Times New Roman" w:eastAsia="Times New Roman" w:hAnsi="Times New Roman"/>
          <w:sz w:val="22"/>
          <w:szCs w:val="22"/>
          <w:color w:val="auto"/>
        </w:rPr>
        <w:t>The Board will administer the Plan. The Board may delegate administration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Committee or Committees, as provided in Section 2(c).</w:t>
      </w:r>
    </w:p>
    <w:p>
      <w:pPr>
        <w:spacing w:after="0" w:line="149" w:lineRule="exact"/>
        <w:rPr>
          <w:rFonts w:ascii="Times New Roman" w:cs="Times New Roman" w:eastAsia="Times New Roman" w:hAnsi="Times New Roman"/>
          <w:sz w:val="22"/>
          <w:szCs w:val="22"/>
          <w:b w:val="1"/>
          <w:bCs w:val="1"/>
          <w:color w:val="auto"/>
        </w:rPr>
      </w:pPr>
    </w:p>
    <w:p>
      <w:pPr>
        <w:ind w:left="1120" w:hanging="476"/>
        <w:spacing w:after="0"/>
        <w:tabs>
          <w:tab w:leader="none" w:pos="1120" w:val="left"/>
        </w:tabs>
        <w:numPr>
          <w:ilvl w:val="1"/>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Powers of Board. </w:t>
      </w:r>
      <w:r>
        <w:rPr>
          <w:rFonts w:ascii="Times New Roman" w:cs="Times New Roman" w:eastAsia="Times New Roman" w:hAnsi="Times New Roman"/>
          <w:sz w:val="21"/>
          <w:szCs w:val="21"/>
          <w:color w:val="auto"/>
        </w:rPr>
        <w:t>The Board will have the power, subject to, and within the limitations of, the express provisions of</w:t>
      </w:r>
    </w:p>
    <w:p>
      <w:pPr>
        <w:spacing w:after="0" w:line="2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 Plan:</w:t>
      </w:r>
    </w:p>
    <w:p>
      <w:pPr>
        <w:spacing w:after="0" w:line="182" w:lineRule="exact"/>
        <w:rPr>
          <w:rFonts w:ascii="Times New Roman" w:cs="Times New Roman" w:eastAsia="Times New Roman" w:hAnsi="Times New Roman"/>
          <w:sz w:val="21"/>
          <w:szCs w:val="21"/>
          <w:b w:val="1"/>
          <w:bCs w:val="1"/>
          <w:color w:val="auto"/>
        </w:rPr>
      </w:pPr>
    </w:p>
    <w:p>
      <w:pPr>
        <w:ind w:right="140" w:firstLine="1281"/>
        <w:spacing w:after="0" w:line="239" w:lineRule="auto"/>
        <w:tabs>
          <w:tab w:leader="none" w:pos="1801" w:val="left"/>
        </w:tabs>
        <w:numPr>
          <w:ilvl w:val="2"/>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80" w:lineRule="exact"/>
        <w:rPr>
          <w:rFonts w:ascii="Times New Roman" w:cs="Times New Roman" w:eastAsia="Times New Roman" w:hAnsi="Times New Roman"/>
          <w:sz w:val="22"/>
          <w:szCs w:val="22"/>
          <w:b w:val="1"/>
          <w:bCs w:val="1"/>
          <w:color w:val="auto"/>
        </w:rPr>
      </w:pPr>
    </w:p>
    <w:p>
      <w:pPr>
        <w:jc w:val="both"/>
        <w:ind w:right="300" w:firstLine="1281"/>
        <w:spacing w:after="0" w:line="239" w:lineRule="auto"/>
        <w:tabs>
          <w:tab w:leader="none" w:pos="1861" w:val="left"/>
        </w:tabs>
        <w:numPr>
          <w:ilvl w:val="2"/>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0" w:lineRule="exact"/>
        <w:rPr>
          <w:rFonts w:ascii="Times New Roman" w:cs="Times New Roman" w:eastAsia="Times New Roman" w:hAnsi="Times New Roman"/>
          <w:sz w:val="22"/>
          <w:szCs w:val="22"/>
          <w:b w:val="1"/>
          <w:bCs w:val="1"/>
          <w:color w:val="auto"/>
        </w:rPr>
      </w:pPr>
    </w:p>
    <w:p>
      <w:pPr>
        <w:ind w:left="1920" w:hanging="639"/>
        <w:spacing w:after="0"/>
        <w:tabs>
          <w:tab w:leader="none" w:pos="1920" w:val="left"/>
        </w:tabs>
        <w:numPr>
          <w:ilvl w:val="2"/>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the Plan and Awards granted under it.</w:t>
      </w:r>
    </w:p>
    <w:p>
      <w:pPr>
        <w:spacing w:after="0" w:line="206" w:lineRule="exact"/>
        <w:rPr>
          <w:rFonts w:ascii="Times New Roman" w:cs="Times New Roman" w:eastAsia="Times New Roman" w:hAnsi="Times New Roman"/>
          <w:sz w:val="22"/>
          <w:szCs w:val="22"/>
          <w:b w:val="1"/>
          <w:bCs w:val="1"/>
          <w:color w:val="auto"/>
        </w:rPr>
      </w:pPr>
    </w:p>
    <w:p>
      <w:pPr>
        <w:ind w:firstLine="1281"/>
        <w:spacing w:after="0" w:line="258" w:lineRule="auto"/>
        <w:tabs>
          <w:tab w:leader="none" w:pos="1909" w:val="left"/>
        </w:tabs>
        <w:numPr>
          <w:ilvl w:val="2"/>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accelerate, in whole or in part, the time at which an Award may be exercised or vest (or at which cash or shares of Common Stock may be issued).</w:t>
      </w:r>
    </w:p>
    <w:p>
      <w:pPr>
        <w:spacing w:after="0" w:line="158" w:lineRule="exact"/>
        <w:rPr>
          <w:rFonts w:ascii="Times New Roman" w:cs="Times New Roman" w:eastAsia="Times New Roman" w:hAnsi="Times New Roman"/>
          <w:sz w:val="22"/>
          <w:szCs w:val="22"/>
          <w:b w:val="1"/>
          <w:bCs w:val="1"/>
          <w:color w:val="auto"/>
        </w:rPr>
      </w:pPr>
    </w:p>
    <w:p>
      <w:pPr>
        <w:ind w:right="760" w:firstLine="1281"/>
        <w:spacing w:after="0" w:line="244" w:lineRule="auto"/>
        <w:tabs>
          <w:tab w:leader="none" w:pos="1849" w:val="left"/>
        </w:tabs>
        <w:numPr>
          <w:ilvl w:val="2"/>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the Plan at any time. Except as otherwise provided in the Plan or an Award Agreement, suspension or termination of the Plan will not materially impair a Participant’s rights under his or her then-outstanding Award without his or her written consent, except as provided in subsection (viii) below.</w:t>
      </w:r>
    </w:p>
    <w:p>
      <w:pPr>
        <w:spacing w:after="0" w:line="173" w:lineRule="exact"/>
        <w:rPr>
          <w:rFonts w:ascii="Times New Roman" w:cs="Times New Roman" w:eastAsia="Times New Roman" w:hAnsi="Times New Roman"/>
          <w:sz w:val="22"/>
          <w:szCs w:val="22"/>
          <w:b w:val="1"/>
          <w:bCs w:val="1"/>
          <w:color w:val="auto"/>
        </w:rPr>
      </w:pPr>
    </w:p>
    <w:p>
      <w:pPr>
        <w:ind w:right="40" w:firstLine="1281"/>
        <w:spacing w:after="0" w:line="249" w:lineRule="auto"/>
        <w:tabs>
          <w:tab w:leader="none" w:pos="1909" w:val="left"/>
        </w:tabs>
        <w:numPr>
          <w:ilvl w:val="2"/>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amend the Plan in any respect the Board deems necessary or advisable, including, without limitation, by adopting amendments relating to Incentive Stock Options and certain nonqualified deferred compensation under Section 409A of the Code and/or to bring the Plan or Awards granted under the Plan into compliance therewith,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8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of individuals eligible to receive Awards under the Plan, (C) materially increases the benefits accruing to Participants under the Plan, (D) materially extends the term of the Plan, or (E)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materially expands the types of Awards available for issuance under the Plan. Except as otherwise provided in the Plan or an Award Agreement, no amendment of the Plan will materially impair that Participant’s rights under an outstanding Award without his or her written consent.</w:t>
      </w:r>
    </w:p>
    <w:p>
      <w:pPr>
        <w:spacing w:after="0" w:line="173" w:lineRule="exact"/>
        <w:rPr>
          <w:sz w:val="20"/>
          <w:szCs w:val="20"/>
          <w:color w:val="auto"/>
        </w:rPr>
      </w:pPr>
    </w:p>
    <w:p>
      <w:pPr>
        <w:jc w:val="both"/>
        <w:ind w:firstLine="1281"/>
        <w:spacing w:after="0" w:line="239" w:lineRule="auto"/>
        <w:tabs>
          <w:tab w:leader="none" w:pos="1969" w:val="left"/>
        </w:tabs>
        <w:numPr>
          <w:ilvl w:val="1"/>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submit any amendment to the Plan for stockholder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180" w:lineRule="exact"/>
        <w:rPr>
          <w:rFonts w:ascii="Times New Roman" w:cs="Times New Roman" w:eastAsia="Times New Roman" w:hAnsi="Times New Roman"/>
          <w:sz w:val="22"/>
          <w:szCs w:val="22"/>
          <w:b w:val="1"/>
          <w:bCs w:val="1"/>
          <w:color w:val="auto"/>
        </w:rPr>
      </w:pPr>
    </w:p>
    <w:p>
      <w:pPr>
        <w:ind w:firstLine="1281"/>
        <w:spacing w:after="0" w:line="248" w:lineRule="auto"/>
        <w:tabs>
          <w:tab w:leader="none" w:pos="2029" w:val="left"/>
        </w:tabs>
        <w:numPr>
          <w:ilvl w:val="1"/>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approve forms of Award Agreements for use under the Plan and to amend the terms of any one or more outstanding Awards. Except with respect to amendments that disqualify or impair the status of an Incentive Stock Option or as otherwise provided in the Plan or an Award Agreement, no amendment of an outstanding Award will materially impair that Participant’s rights under his or her outstanding Award without his or her written consent. To be clear, unless prohibited by applicable law, the Board may amend the terms of an Award without the affected Participant’s consent if necessary (A) to maintain the qualified status of the Award as an Incentive Stock Option, (B) to clarify the manner of exemption from, or to bring the Award into compliance with, Section 409A of the Code, or (C) to comply with other applicable laws or listing requirements.</w:t>
      </w:r>
    </w:p>
    <w:p>
      <w:pPr>
        <w:spacing w:after="0" w:line="170" w:lineRule="exact"/>
        <w:rPr>
          <w:rFonts w:ascii="Times New Roman" w:cs="Times New Roman" w:eastAsia="Times New Roman" w:hAnsi="Times New Roman"/>
          <w:sz w:val="21"/>
          <w:szCs w:val="21"/>
          <w:b w:val="1"/>
          <w:bCs w:val="1"/>
          <w:color w:val="auto"/>
        </w:rPr>
      </w:pPr>
    </w:p>
    <w:p>
      <w:pPr>
        <w:ind w:right="120" w:firstLine="1281"/>
        <w:spacing w:after="0" w:line="258" w:lineRule="auto"/>
        <w:tabs>
          <w:tab w:leader="none" w:pos="1909" w:val="left"/>
        </w:tabs>
        <w:numPr>
          <w:ilvl w:val="1"/>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58" w:lineRule="exact"/>
        <w:rPr>
          <w:rFonts w:ascii="Times New Roman" w:cs="Times New Roman" w:eastAsia="Times New Roman" w:hAnsi="Times New Roman"/>
          <w:sz w:val="22"/>
          <w:szCs w:val="22"/>
          <w:b w:val="1"/>
          <w:bCs w:val="1"/>
          <w:color w:val="auto"/>
        </w:rPr>
      </w:pPr>
    </w:p>
    <w:p>
      <w:pPr>
        <w:ind w:right="140" w:firstLine="1281"/>
        <w:spacing w:after="0" w:line="238" w:lineRule="auto"/>
        <w:tabs>
          <w:tab w:leader="none" w:pos="1849" w:val="left"/>
        </w:tabs>
        <w:numPr>
          <w:ilvl w:val="1"/>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adopt such procedures and sub-plans as are necessary or appropriate to permit or facilitate participation in the Plan by Employees, Directors or Consultants who are foreign nationals or employed outside the United States or allow Awards to qualify for special tax treatment in a foreign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Board approval will not be necessary for immaterial modifications to the Plan or any Award Agreement that are required for compliance with the laws of the relevant foreign jurisdiction.</w:t>
      </w:r>
    </w:p>
    <w:p>
      <w:pPr>
        <w:spacing w:after="0" w:line="172" w:lineRule="exact"/>
        <w:rPr>
          <w:rFonts w:ascii="Times New Roman" w:cs="Times New Roman" w:eastAsia="Times New Roman" w:hAnsi="Times New Roman"/>
          <w:sz w:val="22"/>
          <w:szCs w:val="22"/>
          <w:b w:val="1"/>
          <w:bCs w:val="1"/>
          <w:color w:val="auto"/>
        </w:rPr>
      </w:pPr>
    </w:p>
    <w:p>
      <w:pPr>
        <w:ind w:left="1100" w:hanging="456"/>
        <w:spacing w:after="0"/>
        <w:tabs>
          <w:tab w:leader="none" w:pos="110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Committee.</w:t>
      </w:r>
    </w:p>
    <w:p>
      <w:pPr>
        <w:spacing w:after="0" w:line="206" w:lineRule="exact"/>
        <w:rPr>
          <w:rFonts w:ascii="Times New Roman" w:cs="Times New Roman" w:eastAsia="Times New Roman" w:hAnsi="Times New Roman"/>
          <w:sz w:val="22"/>
          <w:szCs w:val="22"/>
          <w:b w:val="1"/>
          <w:bCs w:val="1"/>
          <w:color w:val="auto"/>
        </w:rPr>
      </w:pPr>
    </w:p>
    <w:p>
      <w:pPr>
        <w:ind w:right="180" w:firstLine="1281"/>
        <w:spacing w:after="0" w:line="237" w:lineRule="auto"/>
        <w:tabs>
          <w:tab w:leader="none" w:pos="1801" w:val="left"/>
        </w:tabs>
        <w:numPr>
          <w:ilvl w:val="1"/>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The Board may delegate some or all of the administration of the Plan to a Committee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8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0"/>
          <w:szCs w:val="20"/>
          <w:color w:val="auto"/>
        </w:rPr>
      </w:pPr>
    </w:p>
    <w:p>
      <w:pPr>
        <w:ind w:right="60" w:firstLine="1281"/>
        <w:spacing w:after="0" w:line="246" w:lineRule="auto"/>
        <w:tabs>
          <w:tab w:leader="none" w:pos="1861" w:val="left"/>
        </w:tabs>
        <w:numPr>
          <w:ilvl w:val="2"/>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Section 162(m) and Rule 16b-3 Compliance. </w:t>
      </w:r>
      <w:r>
        <w:rPr>
          <w:rFonts w:ascii="Times New Roman" w:cs="Times New Roman" w:eastAsia="Times New Roman" w:hAnsi="Times New Roman"/>
          <w:sz w:val="22"/>
          <w:szCs w:val="22"/>
          <w:color w:val="auto"/>
        </w:rPr>
        <w:t>The Committee may consist solely of two or more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in accordance with Section 162(m) of the Code, or solely of two or more Non-Employee Directors, in accordance with Rule 16b-3.</w:t>
      </w:r>
    </w:p>
    <w:p>
      <w:pPr>
        <w:spacing w:after="0" w:line="167" w:lineRule="exact"/>
        <w:rPr>
          <w:rFonts w:ascii="Times New Roman" w:cs="Times New Roman" w:eastAsia="Times New Roman" w:hAnsi="Times New Roman"/>
          <w:sz w:val="22"/>
          <w:szCs w:val="22"/>
          <w:b w:val="1"/>
          <w:bCs w:val="1"/>
          <w:color w:val="auto"/>
        </w:rPr>
      </w:pPr>
    </w:p>
    <w:p>
      <w:pPr>
        <w:ind w:firstLine="644"/>
        <w:spacing w:after="0" w:line="234" w:lineRule="auto"/>
        <w:tabs>
          <w:tab w:leader="none" w:pos="1116" w:val="left"/>
        </w:tabs>
        <w:numPr>
          <w:ilvl w:val="1"/>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Delegation to an Officer. </w:t>
      </w:r>
      <w:r>
        <w:rPr>
          <w:rFonts w:ascii="Times New Roman" w:cs="Times New Roman" w:eastAsia="Times New Roman" w:hAnsi="Times New Roman"/>
          <w:sz w:val="22"/>
          <w:szCs w:val="22"/>
          <w:color w:val="auto"/>
        </w:rPr>
        <w:t>The Board may delegate to one or more Officers the authority to do one or both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following (i) designate Employees who are not Officers to be recipients of Options and SARs (and, to the extent permitted by applicable law, other Stock Awards) and, to the extent permitted by applicable law, the terms of such rights and options, and (ii) determine the number of shares of Common Stock to be subject to such Stock Awards granted to such Employees;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Board resolutions regarding such delegation will specify the total number of shares of Common Stock that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(as defined below).</w:t>
      </w:r>
    </w:p>
    <w:p>
      <w:pPr>
        <w:spacing w:after="0" w:line="179" w:lineRule="exact"/>
        <w:rPr>
          <w:rFonts w:ascii="Times New Roman" w:cs="Times New Roman" w:eastAsia="Times New Roman" w:hAnsi="Times New Roman"/>
          <w:sz w:val="22"/>
          <w:szCs w:val="22"/>
          <w:b w:val="1"/>
          <w:bCs w:val="1"/>
          <w:color w:val="auto"/>
        </w:rPr>
      </w:pPr>
    </w:p>
    <w:p>
      <w:pPr>
        <w:ind w:right="120" w:firstLine="644"/>
        <w:spacing w:after="0" w:line="262" w:lineRule="auto"/>
        <w:tabs>
          <w:tab w:leader="none" w:pos="1200" w:val="left"/>
        </w:tabs>
        <w:numPr>
          <w:ilvl w:val="1"/>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Board’s Decision. </w:t>
      </w:r>
      <w:r>
        <w:rPr>
          <w:rFonts w:ascii="Times New Roman" w:cs="Times New Roman" w:eastAsia="Times New Roman" w:hAnsi="Times New Roman"/>
          <w:sz w:val="22"/>
          <w:szCs w:val="22"/>
          <w:color w:val="auto"/>
        </w:rPr>
        <w:t>All determinations, interpretations and constructions made by the Board in good faith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be subject to review by any person and will be final, binding and conclusive on all persons.</w:t>
      </w:r>
    </w:p>
    <w:p>
      <w:pPr>
        <w:spacing w:after="0" w:line="176"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HARES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1120" w:hanging="476"/>
        <w:spacing w:after="0"/>
        <w:tabs>
          <w:tab w:leader="none" w:pos="1120" w:val="left"/>
        </w:tabs>
        <w:numPr>
          <w:ilvl w:val="1"/>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Reserve.</w:t>
      </w:r>
    </w:p>
    <w:p>
      <w:pPr>
        <w:spacing w:after="0" w:line="210" w:lineRule="exact"/>
        <w:rPr>
          <w:rFonts w:ascii="Times New Roman" w:cs="Times New Roman" w:eastAsia="Times New Roman" w:hAnsi="Times New Roman"/>
          <w:sz w:val="22"/>
          <w:szCs w:val="22"/>
          <w:b w:val="1"/>
          <w:bCs w:val="1"/>
          <w:color w:val="auto"/>
        </w:rPr>
      </w:pPr>
    </w:p>
    <w:p>
      <w:pPr>
        <w:jc w:val="both"/>
        <w:ind w:right="60" w:firstLine="1281"/>
        <w:spacing w:after="0" w:line="239" w:lineRule="auto"/>
        <w:tabs>
          <w:tab w:leader="none" w:pos="1801" w:val="left"/>
        </w:tabs>
        <w:numPr>
          <w:ilvl w:val="2"/>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9(a) relating to Capitalization Adjustments and the “evergreen” provision in Section 3(a) (ii), the aggregate number of shares of Common Stock that may be issued pursuant to Stock Awards from and after the Effective Date (the “</w:t>
      </w:r>
      <w:r>
        <w:rPr>
          <w:rFonts w:ascii="Times New Roman" w:cs="Times New Roman" w:eastAsia="Times New Roman" w:hAnsi="Times New Roman"/>
          <w:sz w:val="22"/>
          <w:szCs w:val="22"/>
          <w:b w:val="1"/>
          <w:bCs w:val="1"/>
          <w:i w:val="1"/>
          <w:iCs w:val="1"/>
          <w:color w:val="auto"/>
        </w:rPr>
        <w:t>Share Reserve</w:t>
      </w:r>
      <w:r>
        <w:rPr>
          <w:rFonts w:ascii="Times New Roman" w:cs="Times New Roman" w:eastAsia="Times New Roman" w:hAnsi="Times New Roman"/>
          <w:sz w:val="22"/>
          <w:szCs w:val="22"/>
          <w:color w:val="auto"/>
        </w:rPr>
        <w:t>”) will not exceed the Prior Plan’s Available Reserve, which was 7,603,509</w:t>
      </w:r>
      <w:r>
        <w:rPr>
          <w:rFonts w:ascii="Times New Roman" w:cs="Times New Roman" w:eastAsia="Times New Roman" w:hAnsi="Times New Roman"/>
          <w:sz w:val="12"/>
          <w:szCs w:val="12"/>
          <w:color w:val="auto"/>
        </w:rPr>
        <w:t>1</w:t>
      </w:r>
      <w:r>
        <w:rPr>
          <w:rFonts w:ascii="Times New Roman" w:cs="Times New Roman" w:eastAsia="Times New Roman" w:hAnsi="Times New Roman"/>
          <w:sz w:val="22"/>
          <w:szCs w:val="22"/>
          <w:color w:val="auto"/>
        </w:rPr>
        <w:t xml:space="preserve"> shares as of September 09, 2014, as increased from time to time by any Returning Shares in an amount not to exceed 12,972,999</w:t>
      </w:r>
      <w:r>
        <w:rPr>
          <w:rFonts w:ascii="Times New Roman" w:cs="Times New Roman" w:eastAsia="Times New Roman" w:hAnsi="Times New Roman"/>
          <w:sz w:val="12"/>
          <w:szCs w:val="12"/>
          <w:color w:val="auto"/>
        </w:rPr>
        <w:t>2</w:t>
      </w:r>
      <w:r>
        <w:rPr>
          <w:rFonts w:ascii="Times New Roman" w:cs="Times New Roman" w:eastAsia="Times New Roman" w:hAnsi="Times New Roman"/>
          <w:sz w:val="22"/>
          <w:szCs w:val="22"/>
          <w:color w:val="auto"/>
        </w:rPr>
        <w:t xml:space="preserve"> shares.</w:t>
      </w:r>
    </w:p>
    <w:p>
      <w:pPr>
        <w:spacing w:after="0" w:line="180" w:lineRule="exact"/>
        <w:rPr>
          <w:sz w:val="20"/>
          <w:szCs w:val="20"/>
          <w:color w:val="auto"/>
        </w:rPr>
      </w:pPr>
    </w:p>
    <w:p>
      <w:pPr>
        <w:ind w:right="160" w:firstLine="1281"/>
        <w:spacing w:after="0" w:line="238" w:lineRule="auto"/>
        <w:tabs>
          <w:tab w:leader="none" w:pos="1861"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the Share Reserve will automatically increase on January 1</w:t>
      </w:r>
      <w:r>
        <w:rPr>
          <w:rFonts w:ascii="Times New Roman" w:cs="Times New Roman" w:eastAsia="Times New Roman" w:hAnsi="Times New Roman"/>
          <w:sz w:val="12"/>
          <w:szCs w:val="12"/>
          <w:color w:val="auto"/>
        </w:rPr>
        <w:t>st</w:t>
      </w:r>
      <w:r>
        <w:rPr>
          <w:rFonts w:ascii="Times New Roman" w:cs="Times New Roman" w:eastAsia="Times New Roman" w:hAnsi="Times New Roman"/>
          <w:sz w:val="22"/>
          <w:szCs w:val="22"/>
          <w:color w:val="auto"/>
        </w:rPr>
        <w:t xml:space="preserve"> of each year, for the period commencing on (and including) January 1, 2016 and ending on (and including) January 1, 2024, in an amount equal to 4.0% of the total number of shares of Capital Stock outstanding on December 31</w:t>
      </w:r>
      <w:r>
        <w:rPr>
          <w:rFonts w:ascii="Times New Roman" w:cs="Times New Roman" w:eastAsia="Times New Roman" w:hAnsi="Times New Roman"/>
          <w:sz w:val="12"/>
          <w:szCs w:val="12"/>
          <w:color w:val="auto"/>
        </w:rPr>
        <w:t>st</w:t>
      </w:r>
      <w:r>
        <w:rPr>
          <w:rFonts w:ascii="Times New Roman" w:cs="Times New Roman" w:eastAsia="Times New Roman" w:hAnsi="Times New Roman"/>
          <w:sz w:val="22"/>
          <w:szCs w:val="22"/>
          <w:color w:val="auto"/>
        </w:rPr>
        <w:t xml:space="preserve"> of the preceding calendar year. Notwithstanding the foregoing, the Board may act prior to January 1</w:t>
      </w:r>
      <w:r>
        <w:rPr>
          <w:rFonts w:ascii="Times New Roman" w:cs="Times New Roman" w:eastAsia="Times New Roman" w:hAnsi="Times New Roman"/>
          <w:sz w:val="12"/>
          <w:szCs w:val="12"/>
          <w:color w:val="auto"/>
        </w:rPr>
        <w:t>st</w:t>
      </w:r>
      <w:r>
        <w:rPr>
          <w:rFonts w:ascii="Times New Roman" w:cs="Times New Roman" w:eastAsia="Times New Roman" w:hAnsi="Times New Roman"/>
          <w:sz w:val="22"/>
          <w:szCs w:val="22"/>
          <w:color w:val="auto"/>
        </w:rPr>
        <w:t xml:space="preserve"> of a given year to provide that there will be no January 1</w:t>
      </w:r>
      <w:r>
        <w:rPr>
          <w:rFonts w:ascii="Times New Roman" w:cs="Times New Roman" w:eastAsia="Times New Roman" w:hAnsi="Times New Roman"/>
          <w:sz w:val="12"/>
          <w:szCs w:val="12"/>
          <w:color w:val="auto"/>
        </w:rPr>
        <w:t>st</w:t>
      </w:r>
      <w:r>
        <w:rPr>
          <w:rFonts w:ascii="Times New Roman" w:cs="Times New Roman" w:eastAsia="Times New Roman" w:hAnsi="Times New Roman"/>
          <w:sz w:val="22"/>
          <w:szCs w:val="22"/>
          <w:color w:val="auto"/>
        </w:rPr>
        <w:t xml:space="preserve"> increase in the Share Reserve for such year or that the increase in the Share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such year will be a lesser number of shares of Common Stock than would otherwise occur pursuant to the preceding sentence.</w:t>
      </w:r>
    </w:p>
    <w:p>
      <w:pPr>
        <w:spacing w:after="0" w:line="218" w:lineRule="exact"/>
        <w:rPr>
          <w:sz w:val="20"/>
          <w:szCs w:val="20"/>
          <w:color w:val="auto"/>
        </w:rPr>
      </w:pPr>
    </w:p>
    <w:p>
      <w:pPr>
        <w:ind w:right="80" w:firstLine="1281"/>
        <w:spacing w:after="0" w:line="244" w:lineRule="auto"/>
        <w:tabs>
          <w:tab w:leader="none" w:pos="1921" w:val="left"/>
        </w:tabs>
        <w:numPr>
          <w:ilvl w:val="1"/>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clarity, the Share Reserve is a limitation on the number of shares of Common Stock that may be issued under the Plan. As a single share may be subject to grant more than once (e.g., if a share subject to a Stock Award is forfeited, it may be made subject to</w:t>
      </w:r>
    </w:p>
    <w:p>
      <w:pPr>
        <w:spacing w:after="0" w:line="302" w:lineRule="exact"/>
        <w:rPr>
          <w:rFonts w:ascii="Times New Roman" w:cs="Times New Roman" w:eastAsia="Times New Roman" w:hAnsi="Times New Roman"/>
          <w:sz w:val="22"/>
          <w:szCs w:val="22"/>
          <w:b w:val="1"/>
          <w:bCs w:val="1"/>
          <w:color w:val="auto"/>
        </w:rPr>
      </w:pPr>
    </w:p>
    <w:p>
      <w:pPr>
        <w:ind w:left="240" w:right="80" w:hanging="229"/>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The initial 19,008,777 shares reserved for issuance were adjusted to 7,603,509 pursuant to the 1-for-2.5 reverse split of the Company’s Common Stock, effective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ind w:left="240" w:right="560" w:hanging="232"/>
        <w:spacing w:after="0" w:line="255" w:lineRule="auto"/>
        <w:tabs>
          <w:tab w:leader="none" w:pos="240" w:val="left"/>
        </w:tabs>
        <w:numPr>
          <w:ilvl w:val="0"/>
          <w:numId w:val="15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The maximum number of Returning Shares was adjusted from 32,432,460 to 12,972,999 pursuant to the 1-for-2.5 reverse split of the Company’s Common Stock, effective November 10, 2014.</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grant again as provided in Section 3(b) below), the Share Reserve is not a limit on the number of Stock Awards that can be granted.</w:t>
      </w:r>
    </w:p>
    <w:p>
      <w:pPr>
        <w:spacing w:after="0" w:line="50" w:lineRule="exact"/>
        <w:rPr>
          <w:sz w:val="20"/>
          <w:szCs w:val="20"/>
          <w:color w:val="auto"/>
        </w:rPr>
      </w:pPr>
    </w:p>
    <w:p>
      <w:pPr>
        <w:ind w:right="280" w:firstLine="1281"/>
        <w:spacing w:after="0" w:line="244" w:lineRule="auto"/>
        <w:tabs>
          <w:tab w:leader="none" w:pos="1909" w:val="left"/>
        </w:tabs>
        <w:numPr>
          <w:ilvl w:val="1"/>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69" w:lineRule="exact"/>
        <w:rPr>
          <w:rFonts w:ascii="Times New Roman" w:cs="Times New Roman" w:eastAsia="Times New Roman" w:hAnsi="Times New Roman"/>
          <w:sz w:val="22"/>
          <w:szCs w:val="22"/>
          <w:b w:val="1"/>
          <w:bCs w:val="1"/>
          <w:color w:val="auto"/>
        </w:rPr>
      </w:pPr>
    </w:p>
    <w:p>
      <w:pPr>
        <w:ind w:firstLine="644"/>
        <w:spacing w:after="0" w:line="235" w:lineRule="auto"/>
        <w:tabs>
          <w:tab w:leader="none" w:pos="1116"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Reversion of Shares to the Share Reserve. </w:t>
      </w:r>
      <w:r>
        <w:rPr>
          <w:rFonts w:ascii="Times New Roman" w:cs="Times New Roman" w:eastAsia="Times New Roman" w:hAnsi="Times New Roman"/>
          <w:sz w:val="22"/>
          <w:szCs w:val="22"/>
          <w:color w:val="auto"/>
        </w:rPr>
        <w:t>If a Stock Award or any portion of a Stock Award (i) expires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terminates without all of the shares covered by such Stock Award having been issued or (ii) is settled in cash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73" w:lineRule="exact"/>
        <w:rPr>
          <w:rFonts w:ascii="Times New Roman" w:cs="Times New Roman" w:eastAsia="Times New Roman" w:hAnsi="Times New Roman"/>
          <w:sz w:val="22"/>
          <w:szCs w:val="22"/>
          <w:b w:val="1"/>
          <w:bCs w:val="1"/>
          <w:color w:val="auto"/>
        </w:rPr>
      </w:pPr>
    </w:p>
    <w:p>
      <w:pPr>
        <w:jc w:val="both"/>
        <w:ind w:right="140" w:firstLine="644"/>
        <w:spacing w:after="0" w:line="246" w:lineRule="auto"/>
        <w:tabs>
          <w:tab w:leader="none" w:pos="1092"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Incentive Stock Option Limit. </w:t>
      </w:r>
      <w:r>
        <w:rPr>
          <w:rFonts w:ascii="Times New Roman" w:cs="Times New Roman" w:eastAsia="Times New Roman" w:hAnsi="Times New Roman"/>
          <w:sz w:val="22"/>
          <w:szCs w:val="22"/>
          <w:color w:val="auto"/>
        </w:rPr>
        <w:t>Subject to the provisions of Section 9(a) relating to Capitalization Adjustments,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maximum number of shares of Common Stock that may be issued pursuant to the exercise of Incentive Stock Options will be 24,000,000</w:t>
      </w:r>
      <w:r>
        <w:rPr>
          <w:rFonts w:ascii="Times New Roman" w:cs="Times New Roman" w:eastAsia="Times New Roman" w:hAnsi="Times New Roman"/>
          <w:sz w:val="12"/>
          <w:szCs w:val="12"/>
          <w:color w:val="auto"/>
        </w:rPr>
        <w:t>3</w:t>
      </w:r>
      <w:r>
        <w:rPr>
          <w:rFonts w:ascii="Times New Roman" w:cs="Times New Roman" w:eastAsia="Times New Roman" w:hAnsi="Times New Roman"/>
          <w:sz w:val="22"/>
          <w:szCs w:val="22"/>
          <w:color w:val="auto"/>
        </w:rPr>
        <w:t xml:space="preserve"> shares of Common Stock.</w:t>
      </w:r>
    </w:p>
    <w:p>
      <w:pPr>
        <w:spacing w:after="0" w:line="167" w:lineRule="exact"/>
        <w:rPr>
          <w:rFonts w:ascii="Times New Roman" w:cs="Times New Roman" w:eastAsia="Times New Roman" w:hAnsi="Times New Roman"/>
          <w:sz w:val="22"/>
          <w:szCs w:val="22"/>
          <w:b w:val="1"/>
          <w:bCs w:val="1"/>
          <w:color w:val="auto"/>
        </w:rPr>
      </w:pPr>
    </w:p>
    <w:p>
      <w:pPr>
        <w:ind w:right="180" w:firstLine="644"/>
        <w:spacing w:after="0" w:line="265" w:lineRule="auto"/>
        <w:tabs>
          <w:tab w:leader="none" w:pos="1116"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162(m) Limitations</w:t>
      </w:r>
      <w:r>
        <w:rPr>
          <w:rFonts w:ascii="Times New Roman" w:cs="Times New Roman" w:eastAsia="Times New Roman" w:hAnsi="Times New Roman"/>
          <w:sz w:val="20"/>
          <w:szCs w:val="20"/>
          <w:color w:val="auto"/>
        </w:rPr>
        <w:t>. Subject to the provisions of Section 9(a) relating to Capitalization Adjustments,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time as the Company may be subject to the applicable provisions of Section 162(m) of the Code: (i) a maximum of 2,000,000</w:t>
      </w:r>
      <w:r>
        <w:rPr>
          <w:rFonts w:ascii="Times New Roman" w:cs="Times New Roman" w:eastAsia="Times New Roman" w:hAnsi="Times New Roman"/>
          <w:sz w:val="12"/>
          <w:szCs w:val="12"/>
          <w:color w:val="auto"/>
        </w:rPr>
        <w:t>4</w:t>
      </w:r>
      <w:r>
        <w:rPr>
          <w:rFonts w:ascii="Times New Roman" w:cs="Times New Roman" w:eastAsia="Times New Roman" w:hAnsi="Times New Roman"/>
          <w:sz w:val="20"/>
          <w:szCs w:val="20"/>
          <w:color w:val="auto"/>
        </w:rPr>
        <w:t xml:space="preserve"> shares of Common Stock subject to Options, SARs and Other Stock Awards whose value is determined by reference to an increase over an exercise or strike price of at least 100% of the Fair Market Value on the date the Stock Award is granted may be granted to any one Participant during any one calendar year, (ii) a maximum of 2,000,000</w:t>
      </w:r>
      <w:r>
        <w:rPr>
          <w:rFonts w:ascii="Times New Roman" w:cs="Times New Roman" w:eastAsia="Times New Roman" w:hAnsi="Times New Roman"/>
          <w:sz w:val="12"/>
          <w:szCs w:val="12"/>
          <w:color w:val="auto"/>
        </w:rPr>
        <w:t>5</w:t>
      </w:r>
      <w:r>
        <w:rPr>
          <w:rFonts w:ascii="Times New Roman" w:cs="Times New Roman" w:eastAsia="Times New Roman" w:hAnsi="Times New Roman"/>
          <w:sz w:val="20"/>
          <w:szCs w:val="20"/>
          <w:color w:val="auto"/>
        </w:rPr>
        <w:t xml:space="preserve"> shares of Common Stock subject to Performance Stock Awards may be granted to any one Participant during any one calendar year (whether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85"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vesting or exercise is contingent upon the attainment during the Performance Period of the Performance Goals) and (iii) a maximum of $2,000,000 may be granted as a Performance Cash Award to any one Participant during any one calendar year. If a Performance Stock Award is in the form of an Option, it will count only against the Performance Stock Award limit. If a Performance Stock Award could (but is not required to) be paid out in cash, it will count only against the Performance Stock Award limit.</w:t>
      </w:r>
    </w:p>
    <w:p>
      <w:pPr>
        <w:spacing w:after="0" w:line="173" w:lineRule="exact"/>
        <w:rPr>
          <w:sz w:val="20"/>
          <w:szCs w:val="20"/>
          <w:color w:val="auto"/>
        </w:rPr>
      </w:pPr>
    </w:p>
    <w:p>
      <w:pPr>
        <w:ind w:right="800" w:firstLine="644"/>
        <w:spacing w:after="0" w:line="262" w:lineRule="auto"/>
        <w:tabs>
          <w:tab w:leader="none" w:pos="1092"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Source of Shares. </w:t>
      </w:r>
      <w:r>
        <w:rPr>
          <w:rFonts w:ascii="Times New Roman" w:cs="Times New Roman" w:eastAsia="Times New Roman" w:hAnsi="Times New Roman"/>
          <w:sz w:val="22"/>
          <w:szCs w:val="22"/>
          <w:color w:val="auto"/>
        </w:rPr>
        <w:t>The stock issuable under the Plan will be shares of authorized but unissued or reacquired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including shares repurchased by the Company on the open market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40" w:right="700" w:hanging="232"/>
        <w:spacing w:after="0" w:line="255" w:lineRule="auto"/>
        <w:tabs>
          <w:tab w:leader="none" w:pos="240" w:val="left"/>
        </w:tabs>
        <w:numPr>
          <w:ilvl w:val="0"/>
          <w:numId w:val="16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The share limit was adjusted from 60,000,000 to 24,000,000 pursuant to the 1-for-2.5 reverse split of the Company’s Common Stock, effective November 10, 2014.</w:t>
      </w:r>
    </w:p>
    <w:p>
      <w:pPr>
        <w:sectPr>
          <w:pgSz w:w="11900" w:h="16838" w:orient="portrait"/>
          <w:cols w:equalWidth="0" w:num="1">
            <w:col w:w="11240"/>
          </w:cols>
          <w:pgMar w:left="320" w:top="1440" w:right="3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 limit reflects the 1-for-2.5 reverse split of the Company’s Common Stock, effective November 10, 2014.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 limit reflects the 1-for-2.5 reverse split of the Company’s Common Stock, effective November 10, 2014.</w:t>
      </w:r>
    </w:p>
    <w:p>
      <w:pPr>
        <w:spacing w:after="0" w:line="160" w:lineRule="exact"/>
        <w:rPr>
          <w:sz w:val="20"/>
          <w:szCs w:val="20"/>
          <w:color w:val="auto"/>
        </w:rPr>
      </w:pPr>
    </w:p>
    <w:p>
      <w:pPr>
        <w:sectPr>
          <w:pgSz w:w="11900" w:h="16838" w:orient="portrait"/>
          <w:cols w:equalWidth="0" w:num="2">
            <w:col w:w="60" w:space="180"/>
            <w:col w:w="11000"/>
          </w:cols>
          <w:pgMar w:left="320" w:top="14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ind w:left="580" w:hanging="572"/>
        <w:spacing w:after="0"/>
        <w:tabs>
          <w:tab w:leader="none" w:pos="58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LIGIBILITY</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right="20" w:firstLine="644"/>
        <w:spacing w:after="0" w:line="234" w:lineRule="auto"/>
        <w:tabs>
          <w:tab w:leader="none" w:pos="1212" w:val="left"/>
        </w:tabs>
        <w:numPr>
          <w:ilvl w:val="1"/>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 for Specific Stock Awards</w:t>
      </w:r>
      <w:r>
        <w:rPr>
          <w:rFonts w:ascii="Times New Roman" w:cs="Times New Roman" w:eastAsia="Times New Roman" w:hAnsi="Times New Roman"/>
          <w:sz w:val="22"/>
          <w:szCs w:val="22"/>
          <w:color w:val="auto"/>
        </w:rPr>
        <w:t>. Incentive Stock Options may be granted only to employees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or a “parent corporation” or “subsidiary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Stock Awards may not be granted to Employees, Directors and Consultants who are providing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79" w:lineRule="exact"/>
        <w:rPr>
          <w:rFonts w:ascii="Times New Roman" w:cs="Times New Roman" w:eastAsia="Times New Roman" w:hAnsi="Times New Roman"/>
          <w:sz w:val="22"/>
          <w:szCs w:val="22"/>
          <w:b w:val="1"/>
          <w:bCs w:val="1"/>
          <w:color w:val="auto"/>
        </w:rPr>
      </w:pPr>
    </w:p>
    <w:p>
      <w:pPr>
        <w:ind w:firstLine="644"/>
        <w:spacing w:after="0" w:line="246" w:lineRule="auto"/>
        <w:tabs>
          <w:tab w:leader="none" w:pos="1224" w:val="left"/>
        </w:tabs>
        <w:numPr>
          <w:ilvl w:val="1"/>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Ten Percent Stockholders. </w:t>
      </w:r>
      <w:r>
        <w:rPr>
          <w:rFonts w:ascii="Times New Roman" w:cs="Times New Roman" w:eastAsia="Times New Roman" w:hAnsi="Times New Roman"/>
          <w:sz w:val="22"/>
          <w:szCs w:val="22"/>
          <w:color w:val="auto"/>
        </w:rPr>
        <w:t>A Ten Percent Stockholder will not be granted an Incentive Stock Option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price of such Option is at least 110% of the Fair Market Value on the date of grant and the Option is not exercisable after the expiration of five years from the date of grant.</w:t>
      </w:r>
    </w:p>
    <w:p>
      <w:pPr>
        <w:spacing w:after="0" w:line="194"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ROVISIONS RELATING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PTIONS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IGHTS</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8" w:name="page179"/>
    <w:bookmarkEnd w:id="178"/>
    <w:p>
      <w:pPr>
        <w:spacing w:after="0" w:line="185" w:lineRule="exact"/>
        <w:rPr>
          <w:sz w:val="20"/>
          <w:szCs w:val="20"/>
          <w:color w:val="auto"/>
        </w:rPr>
      </w:pPr>
    </w:p>
    <w:p>
      <w:pPr>
        <w:ind w:right="80" w:firstLine="636"/>
        <w:spacing w:after="0" w:line="247" w:lineRule="auto"/>
        <w:rPr>
          <w:sz w:val="20"/>
          <w:szCs w:val="20"/>
          <w:color w:val="auto"/>
        </w:rPr>
      </w:pPr>
      <w:r>
        <w:rPr>
          <w:rFonts w:ascii="Times New Roman" w:cs="Times New Roman" w:eastAsia="Times New Roman" w:hAnsi="Times New Roman"/>
          <w:sz w:val="21"/>
          <w:szCs w:val="21"/>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each Award Agreement will conform to (through incorporation of provisions hereof by reference in the applicable Award Agreement or otherwise) the substance of each of the following provisions:</w:t>
      </w:r>
    </w:p>
    <w:p>
      <w:pPr>
        <w:spacing w:after="0" w:line="168" w:lineRule="exact"/>
        <w:rPr>
          <w:sz w:val="20"/>
          <w:szCs w:val="20"/>
          <w:color w:val="auto"/>
        </w:rPr>
      </w:pPr>
    </w:p>
    <w:p>
      <w:pPr>
        <w:ind w:right="280" w:firstLine="644"/>
        <w:spacing w:after="0" w:line="286" w:lineRule="auto"/>
        <w:tabs>
          <w:tab w:leader="none" w:pos="1212" w:val="left"/>
        </w:tabs>
        <w:numPr>
          <w:ilvl w:val="0"/>
          <w:numId w:val="1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Subject to the provisions of Section 4(b) regarding Ten Percent Stockholders, no Option or SAR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exercisable after the expiration of ten years from the date of its grant or such shorter period specified in the Award Agreement.</w:t>
      </w:r>
    </w:p>
    <w:p>
      <w:pPr>
        <w:spacing w:after="0" w:line="126" w:lineRule="exact"/>
        <w:rPr>
          <w:rFonts w:ascii="Times New Roman" w:cs="Times New Roman" w:eastAsia="Times New Roman" w:hAnsi="Times New Roman"/>
          <w:sz w:val="21"/>
          <w:szCs w:val="21"/>
          <w:b w:val="1"/>
          <w:bCs w:val="1"/>
          <w:color w:val="auto"/>
        </w:rPr>
      </w:pPr>
    </w:p>
    <w:p>
      <w:pPr>
        <w:ind w:right="40" w:firstLine="644"/>
        <w:spacing w:after="0" w:line="237" w:lineRule="auto"/>
        <w:tabs>
          <w:tab w:leader="none" w:pos="1224"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Price. </w:t>
      </w:r>
      <w:r>
        <w:rPr>
          <w:rFonts w:ascii="Times New Roman" w:cs="Times New Roman" w:eastAsia="Times New Roman" w:hAnsi="Times New Roman"/>
          <w:sz w:val="22"/>
          <w:szCs w:val="22"/>
          <w:color w:val="auto"/>
        </w:rPr>
        <w:t>Subject to the provisions of Section 4(b) regarding Ten Percent Stockholders, the exercise or strike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with the provisions of Section 409A of the Code and, if applicable, Section 424(a) of the Code. Each SAR will be denominated in shares of Common Stock equivalents.</w:t>
      </w:r>
    </w:p>
    <w:p>
      <w:pPr>
        <w:spacing w:after="0" w:line="154" w:lineRule="exact"/>
        <w:rPr>
          <w:sz w:val="20"/>
          <w:szCs w:val="20"/>
          <w:color w:val="auto"/>
        </w:rPr>
      </w:pPr>
    </w:p>
    <w:p>
      <w:pPr>
        <w:ind w:right="140" w:firstLine="644"/>
        <w:spacing w:after="0" w:line="238" w:lineRule="auto"/>
        <w:tabs>
          <w:tab w:leader="none" w:pos="1092"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Purchase Price for Options. </w:t>
      </w:r>
      <w:r>
        <w:rPr>
          <w:rFonts w:ascii="Times New Roman" w:cs="Times New Roman" w:eastAsia="Times New Roman" w:hAnsi="Times New Roman"/>
          <w:sz w:val="22"/>
          <w:szCs w:val="22"/>
          <w:color w:val="auto"/>
        </w:rPr>
        <w:t>The purchase price of Common Stock acquired pursuant to the exercise of an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0" w:lineRule="exact"/>
        <w:rPr>
          <w:rFonts w:ascii="Times New Roman" w:cs="Times New Roman" w:eastAsia="Times New Roman" w:hAnsi="Times New Roman"/>
          <w:sz w:val="22"/>
          <w:szCs w:val="22"/>
          <w:b w:val="1"/>
          <w:bCs w:val="1"/>
          <w:color w:val="auto"/>
        </w:rPr>
      </w:pPr>
    </w:p>
    <w:p>
      <w:pPr>
        <w:ind w:left="1800" w:hanging="519"/>
        <w:spacing w:after="0"/>
        <w:tabs>
          <w:tab w:leader="none" w:pos="1800" w:val="left"/>
        </w:tabs>
        <w:numPr>
          <w:ilvl w:val="1"/>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cash, check, bank draft or money order payable to the Company;</w:t>
      </w:r>
    </w:p>
    <w:p>
      <w:pPr>
        <w:spacing w:after="0" w:line="206" w:lineRule="exact"/>
        <w:rPr>
          <w:rFonts w:ascii="Times New Roman" w:cs="Times New Roman" w:eastAsia="Times New Roman" w:hAnsi="Times New Roman"/>
          <w:sz w:val="22"/>
          <w:szCs w:val="22"/>
          <w:b w:val="1"/>
          <w:bCs w:val="1"/>
          <w:color w:val="auto"/>
        </w:rPr>
      </w:pPr>
    </w:p>
    <w:p>
      <w:pPr>
        <w:ind w:right="360" w:firstLine="1281"/>
        <w:spacing w:after="0" w:line="244" w:lineRule="auto"/>
        <w:tabs>
          <w:tab w:leader="none" w:pos="1861" w:val="left"/>
        </w:tabs>
        <w:numPr>
          <w:ilvl w:val="1"/>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3" w:lineRule="exact"/>
        <w:rPr>
          <w:rFonts w:ascii="Times New Roman" w:cs="Times New Roman" w:eastAsia="Times New Roman" w:hAnsi="Times New Roman"/>
          <w:sz w:val="22"/>
          <w:szCs w:val="22"/>
          <w:b w:val="1"/>
          <w:bCs w:val="1"/>
          <w:color w:val="auto"/>
        </w:rPr>
      </w:pPr>
    </w:p>
    <w:p>
      <w:pPr>
        <w:ind w:left="1920" w:hanging="639"/>
        <w:spacing w:after="0"/>
        <w:tabs>
          <w:tab w:leader="none" w:pos="1920" w:val="left"/>
        </w:tabs>
        <w:numPr>
          <w:ilvl w:val="1"/>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delivery to the Company (either by actual delivery or attestation)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5" w:lineRule="exact"/>
        <w:rPr>
          <w:sz w:val="20"/>
          <w:szCs w:val="20"/>
          <w:color w:val="auto"/>
        </w:rPr>
      </w:pPr>
    </w:p>
    <w:p>
      <w:pPr>
        <w:ind w:firstLine="1281"/>
        <w:spacing w:after="0" w:line="235" w:lineRule="auto"/>
        <w:tabs>
          <w:tab w:leader="none" w:pos="1909" w:val="left"/>
        </w:tabs>
        <w:numPr>
          <w:ilvl w:val="1"/>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or</w:t>
      </w:r>
    </w:p>
    <w:p>
      <w:pPr>
        <w:spacing w:after="0" w:line="178" w:lineRule="exact"/>
        <w:rPr>
          <w:rFonts w:ascii="Times New Roman" w:cs="Times New Roman" w:eastAsia="Times New Roman" w:hAnsi="Times New Roman"/>
          <w:sz w:val="22"/>
          <w:szCs w:val="22"/>
          <w:b w:val="1"/>
          <w:bCs w:val="1"/>
          <w:color w:val="auto"/>
        </w:rPr>
      </w:pPr>
    </w:p>
    <w:p>
      <w:pPr>
        <w:ind w:left="1860" w:hanging="579"/>
        <w:spacing w:after="0"/>
        <w:tabs>
          <w:tab w:leader="none" w:pos="1860" w:val="left"/>
        </w:tabs>
        <w:numPr>
          <w:ilvl w:val="1"/>
          <w:numId w:val="1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any other form of legal consideration that may be acceptable to the Board and specified in the applicable</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Award Agreement.</w:t>
      </w:r>
    </w:p>
    <w:p>
      <w:pPr>
        <w:spacing w:after="0" w:line="178" w:lineRule="exact"/>
        <w:rPr>
          <w:rFonts w:ascii="Times New Roman" w:cs="Times New Roman" w:eastAsia="Times New Roman" w:hAnsi="Times New Roman"/>
          <w:sz w:val="21"/>
          <w:szCs w:val="21"/>
          <w:b w:val="1"/>
          <w:bCs w:val="1"/>
          <w:color w:val="auto"/>
        </w:rPr>
      </w:pPr>
    </w:p>
    <w:p>
      <w:pPr>
        <w:ind w:right="60" w:firstLine="644"/>
        <w:spacing w:after="0" w:line="235" w:lineRule="auto"/>
        <w:tabs>
          <w:tab w:leader="none" w:pos="1116"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and Payment of a SAR. </w:t>
      </w:r>
      <w:r>
        <w:rPr>
          <w:rFonts w:ascii="Times New Roman" w:cs="Times New Roman" w:eastAsia="Times New Roman" w:hAnsi="Times New Roman"/>
          <w:sz w:val="22"/>
          <w:szCs w:val="22"/>
          <w:color w:val="auto"/>
        </w:rPr>
        <w:t>To exercise any outstanding SAR, the Participant must provide written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0"/>
          <w:szCs w:val="20"/>
          <w:color w:val="auto"/>
        </w:rPr>
      </w:pPr>
    </w:p>
    <w:p>
      <w:pPr>
        <w:ind w:right="500" w:firstLine="644"/>
        <w:spacing w:after="0" w:line="246" w:lineRule="auto"/>
        <w:tabs>
          <w:tab w:leader="none" w:pos="1092"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of Options and SARs. </w:t>
      </w:r>
      <w:r>
        <w:rPr>
          <w:rFonts w:ascii="Times New Roman" w:cs="Times New Roman" w:eastAsia="Times New Roman" w:hAnsi="Times New Roman"/>
          <w:sz w:val="22"/>
          <w:szCs w:val="22"/>
          <w:color w:val="auto"/>
        </w:rPr>
        <w:t>The Board may, in its sole discretion, impose such limitations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transferability of Options and SARs as the Board will determine. In the absence of such a determination by the Board to the contrary, the following restrictions on the transferability of Options and SARs will apply:</w:t>
      </w:r>
    </w:p>
    <w:p>
      <w:pPr>
        <w:spacing w:after="0" w:line="167" w:lineRule="exact"/>
        <w:rPr>
          <w:rFonts w:ascii="Times New Roman" w:cs="Times New Roman" w:eastAsia="Times New Roman" w:hAnsi="Times New Roman"/>
          <w:sz w:val="22"/>
          <w:szCs w:val="22"/>
          <w:b w:val="1"/>
          <w:bCs w:val="1"/>
          <w:color w:val="auto"/>
        </w:rPr>
      </w:pPr>
    </w:p>
    <w:p>
      <w:pPr>
        <w:ind w:right="120" w:firstLine="1281"/>
        <w:spacing w:after="0" w:line="238" w:lineRule="auto"/>
        <w:tabs>
          <w:tab w:leader="none" w:pos="1801" w:val="left"/>
        </w:tabs>
        <w:numPr>
          <w:ilvl w:val="1"/>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on Transfer. </w:t>
      </w:r>
      <w:r>
        <w:rPr>
          <w:rFonts w:ascii="Times New Roman" w:cs="Times New Roman" w:eastAsia="Times New Roman" w:hAnsi="Times New Roman"/>
          <w:sz w:val="22"/>
          <w:szCs w:val="22"/>
          <w:color w:val="auto"/>
        </w:rPr>
        <w:t>An Option or SAR will not be transferable except by will or by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76" w:lineRule="exact"/>
        <w:rPr>
          <w:rFonts w:ascii="Times New Roman" w:cs="Times New Roman" w:eastAsia="Times New Roman" w:hAnsi="Times New Roman"/>
          <w:sz w:val="22"/>
          <w:szCs w:val="22"/>
          <w:b w:val="1"/>
          <w:bCs w:val="1"/>
          <w:color w:val="auto"/>
        </w:rPr>
      </w:pPr>
    </w:p>
    <w:p>
      <w:pPr>
        <w:ind w:right="140" w:firstLine="1281"/>
        <w:spacing w:after="0" w:line="241" w:lineRule="auto"/>
        <w:tabs>
          <w:tab w:leader="none" w:pos="1861" w:val="left"/>
        </w:tabs>
        <w:numPr>
          <w:ilvl w:val="1"/>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Domestic Relations Orders. </w:t>
      </w:r>
      <w:r>
        <w:rPr>
          <w:rFonts w:ascii="Times New Roman" w:cs="Times New Roman" w:eastAsia="Times New Roman" w:hAnsi="Times New Roman"/>
          <w:sz w:val="22"/>
          <w:szCs w:val="22"/>
          <w:color w:val="auto"/>
        </w:rPr>
        <w:t>Subject to the approval of the Board or a duly authorized Officer, an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SAR may be transferred pursuant to the terms of a domestic relations order or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0" w:name="page181"/>
    <w:bookmarkEnd w:id="180"/>
    <w:p>
      <w:pPr>
        <w:spacing w:after="0" w:line="181" w:lineRule="exact"/>
        <w:rPr>
          <w:sz w:val="20"/>
          <w:szCs w:val="20"/>
          <w:color w:val="auto"/>
        </w:rPr>
      </w:pPr>
    </w:p>
    <w:p>
      <w:pPr>
        <w:ind w:right="20" w:firstLine="1281"/>
        <w:spacing w:after="0" w:line="248" w:lineRule="auto"/>
        <w:tabs>
          <w:tab w:leader="none" w:pos="1921" w:val="left"/>
        </w:tabs>
        <w:numPr>
          <w:ilvl w:val="1"/>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Beneficiary Designation. </w:t>
      </w:r>
      <w:r>
        <w:rPr>
          <w:rFonts w:ascii="Times New Roman" w:cs="Times New Roman" w:eastAsia="Times New Roman" w:hAnsi="Times New Roman"/>
          <w:sz w:val="21"/>
          <w:szCs w:val="21"/>
          <w:color w:val="auto"/>
        </w:rPr>
        <w:t>Subject to the approval of the Board or a duly authorized Officer, a 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70" w:lineRule="exact"/>
        <w:rPr>
          <w:rFonts w:ascii="Times New Roman" w:cs="Times New Roman" w:eastAsia="Times New Roman" w:hAnsi="Times New Roman"/>
          <w:sz w:val="21"/>
          <w:szCs w:val="21"/>
          <w:b w:val="1"/>
          <w:bCs w:val="1"/>
          <w:color w:val="auto"/>
        </w:rPr>
      </w:pPr>
    </w:p>
    <w:p>
      <w:pPr>
        <w:ind w:right="160" w:firstLine="644"/>
        <w:spacing w:after="0" w:line="237" w:lineRule="auto"/>
        <w:tabs>
          <w:tab w:leader="none" w:pos="1068"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Generally. </w:t>
      </w:r>
      <w:r>
        <w:rPr>
          <w:rFonts w:ascii="Times New Roman" w:cs="Times New Roman" w:eastAsia="Times New Roman" w:hAnsi="Times New Roman"/>
          <w:sz w:val="22"/>
          <w:szCs w:val="22"/>
          <w:color w:val="auto"/>
        </w:rPr>
        <w:t>The total number of shares of Common Stock subject to an Option or SAR may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5" w:lineRule="exact"/>
        <w:rPr>
          <w:rFonts w:ascii="Times New Roman" w:cs="Times New Roman" w:eastAsia="Times New Roman" w:hAnsi="Times New Roman"/>
          <w:sz w:val="22"/>
          <w:szCs w:val="22"/>
          <w:b w:val="1"/>
          <w:bCs w:val="1"/>
          <w:color w:val="auto"/>
        </w:rPr>
      </w:pPr>
    </w:p>
    <w:p>
      <w:pPr>
        <w:ind w:firstLine="644"/>
        <w:spacing w:after="0" w:line="250" w:lineRule="auto"/>
        <w:tabs>
          <w:tab w:leader="none" w:pos="1104" w:val="left"/>
        </w:tabs>
        <w:numPr>
          <w:ilvl w:val="0"/>
          <w:numId w:val="1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of Continuous Service. </w:t>
      </w:r>
      <w:r>
        <w:rPr>
          <w:rFonts w:ascii="Times New Roman" w:cs="Times New Roman" w:eastAsia="Times New Roman" w:hAnsi="Times New Roman"/>
          <w:sz w:val="21"/>
          <w:szCs w:val="21"/>
          <w:color w:val="auto"/>
        </w:rPr>
        <w:t>Except as otherwise provided in the applicable Award Agreement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which occurs three months following the termination of the Participant’s Continuous Service (or such longer or shorter period specified in the applicable Award Agreement) and (ii) the expiration of the term</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of the Option or SAR as set forth in the Award Agreement. If, after termination of Continuous Service, the Participant does not exercise his or her Option or SAR within the applicable time frame, the Option or SAR will terminate.</w:t>
      </w:r>
    </w:p>
    <w:p>
      <w:pPr>
        <w:spacing w:after="0" w:line="154" w:lineRule="exact"/>
        <w:rPr>
          <w:sz w:val="20"/>
          <w:szCs w:val="20"/>
          <w:color w:val="auto"/>
        </w:rPr>
      </w:pPr>
    </w:p>
    <w:p>
      <w:pPr>
        <w:ind w:right="40" w:firstLine="644"/>
        <w:spacing w:after="0" w:line="247" w:lineRule="auto"/>
        <w:tabs>
          <w:tab w:leader="none" w:pos="1224" w:val="left"/>
        </w:tabs>
        <w:numPr>
          <w:ilvl w:val="0"/>
          <w:numId w:val="1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Extension of Termination Date. </w:t>
      </w:r>
      <w:r>
        <w:rPr>
          <w:rFonts w:ascii="Times New Roman" w:cs="Times New Roman" w:eastAsia="Times New Roman" w:hAnsi="Times New Roman"/>
          <w:sz w:val="21"/>
          <w:szCs w:val="21"/>
          <w:color w:val="auto"/>
        </w:rPr>
        <w:t>Except as otherwise provided in the applicable Award Agreement, if the exercise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three months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5"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Continuous Service (other than for Cause) would violate the Company’s insider trading policy, then the Option or SAR will terminate on the earlier of (i) the expiration of a period of days or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73" w:lineRule="exact"/>
        <w:rPr>
          <w:sz w:val="20"/>
          <w:szCs w:val="20"/>
          <w:color w:val="auto"/>
        </w:rPr>
      </w:pPr>
    </w:p>
    <w:p>
      <w:pPr>
        <w:ind w:right="120" w:firstLine="644"/>
        <w:spacing w:after="0" w:line="248" w:lineRule="auto"/>
        <w:tabs>
          <w:tab w:leader="none" w:pos="1164" w:val="left"/>
        </w:tabs>
        <w:numPr>
          <w:ilvl w:val="1"/>
          <w:numId w:val="1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Disability of Participant. </w:t>
      </w:r>
      <w:r>
        <w:rPr>
          <w:rFonts w:ascii="Times New Roman" w:cs="Times New Roman" w:eastAsia="Times New Roman" w:hAnsi="Times New Roman"/>
          <w:sz w:val="21"/>
          <w:szCs w:val="21"/>
          <w:color w:val="auto"/>
        </w:rPr>
        <w:t>Except as otherwise provided in the applicable Award Agreement or other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w:t>
      </w:r>
    </w:p>
    <w:p>
      <w:pPr>
        <w:spacing w:after="0" w:line="1" w:lineRule="exact"/>
        <w:rPr>
          <w:rFonts w:ascii="Times New Roman" w:cs="Times New Roman" w:eastAsia="Times New Roman" w:hAnsi="Times New Roman"/>
          <w:sz w:val="21"/>
          <w:szCs w:val="21"/>
          <w:b w:val="1"/>
          <w:bCs w:val="1"/>
          <w:color w:val="auto"/>
        </w:rPr>
      </w:pPr>
    </w:p>
    <w:p>
      <w:pPr>
        <w:ind w:right="20" w:firstLine="8"/>
        <w:spacing w:after="0" w:line="234" w:lineRule="auto"/>
        <w:tabs>
          <w:tab w:leader="none" w:pos="25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which occurs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73" w:lineRule="exact"/>
        <w:rPr>
          <w:rFonts w:ascii="Times New Roman" w:cs="Times New Roman" w:eastAsia="Times New Roman" w:hAnsi="Times New Roman"/>
          <w:sz w:val="22"/>
          <w:szCs w:val="22"/>
          <w:color w:val="auto"/>
        </w:rPr>
      </w:pPr>
    </w:p>
    <w:p>
      <w:pPr>
        <w:ind w:firstLine="644"/>
        <w:spacing w:after="0" w:line="235" w:lineRule="auto"/>
        <w:tabs>
          <w:tab w:leader="none" w:pos="1176" w:val="left"/>
        </w:tabs>
        <w:numPr>
          <w:ilvl w:val="1"/>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Death of Participant. </w:t>
      </w:r>
      <w:r>
        <w:rPr>
          <w:rFonts w:ascii="Times New Roman" w:cs="Times New Roman" w:eastAsia="Times New Roman" w:hAnsi="Times New Roman"/>
          <w:sz w:val="22"/>
          <w:szCs w:val="22"/>
          <w:color w:val="auto"/>
        </w:rPr>
        <w:t>Except as otherwise provided in the applicable Award Agreement or other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which occurs 18 months following the date of death (or such longer or shorter period specified in the Award Agreement), and (ii) the expiration of the term of such Option or SAR as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set forth in the Award Agreement. If, after the Participant’s death, the Option or SAR is not exercised within the applicable time frame, the Option or SAR will terminate.</w:t>
      </w:r>
    </w:p>
    <w:p>
      <w:pPr>
        <w:spacing w:after="0" w:line="154" w:lineRule="exact"/>
        <w:rPr>
          <w:sz w:val="20"/>
          <w:szCs w:val="20"/>
          <w:color w:val="auto"/>
        </w:rPr>
      </w:pPr>
    </w:p>
    <w:p>
      <w:pPr>
        <w:ind w:right="100" w:firstLine="644"/>
        <w:spacing w:after="0" w:line="248" w:lineRule="auto"/>
        <w:tabs>
          <w:tab w:leader="none" w:pos="1224" w:val="left"/>
        </w:tabs>
        <w:numPr>
          <w:ilvl w:val="0"/>
          <w:numId w:val="1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for Cause. </w:t>
      </w:r>
      <w:r>
        <w:rPr>
          <w:rFonts w:ascii="Times New Roman" w:cs="Times New Roman" w:eastAsia="Times New Roman" w:hAnsi="Times New Roman"/>
          <w:sz w:val="21"/>
          <w:szCs w:val="21"/>
          <w:color w:val="auto"/>
        </w:rPr>
        <w:t>Except as explicitly provided otherwise in a Participant’s Award Agreement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 written agreement between the Company or any Affiliate and the Participant, if a Participant’s Continuous Service is terminated for Cause, the Option or SAR will terminate immediately upon the date on which the event giving rise to the termination for Cause first occurred, and the Participant will be prohibited from exercising his or her Option or SAR from and after the date on which the event giving rise to the termination for Cause first occurred (or, if required by law, the date of termination of Continuous Service). If a Participant’s Continuous Service is suspended pending an investigation of the existence of Cause, all of the Participant’s rights under the Option or SAR will also be suspended during the investigation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2" w:name="page183"/>
    <w:bookmarkEnd w:id="182"/>
    <w:p>
      <w:pPr>
        <w:spacing w:after="0" w:line="181" w:lineRule="exact"/>
        <w:rPr>
          <w:sz w:val="20"/>
          <w:szCs w:val="20"/>
          <w:color w:val="auto"/>
        </w:rPr>
      </w:pPr>
    </w:p>
    <w:p>
      <w:pPr>
        <w:ind w:right="60" w:firstLine="644"/>
        <w:spacing w:after="0" w:line="247" w:lineRule="auto"/>
        <w:tabs>
          <w:tab w:leader="none" w:pos="1164" w:val="left"/>
        </w:tabs>
        <w:numPr>
          <w:ilvl w:val="1"/>
          <w:numId w:val="1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Non-Exempt Employees</w:t>
      </w:r>
      <w:r>
        <w:rPr>
          <w:rFonts w:ascii="Times New Roman" w:cs="Times New Roman" w:eastAsia="Times New Roman" w:hAnsi="Times New Roman"/>
          <w:sz w:val="21"/>
          <w:szCs w:val="21"/>
          <w:color w:val="auto"/>
        </w:rPr>
        <w:t>. If an Option or SAR is granted to an Employee who is a non-exempt employee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of the Fair Labor Standards 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w:t>
      </w:r>
    </w:p>
    <w:p>
      <w:pPr>
        <w:ind w:right="40" w:firstLine="8"/>
        <w:spacing w:after="0" w:line="232" w:lineRule="auto"/>
        <w:tabs>
          <w:tab w:leader="none" w:pos="37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201" w:lineRule="exact"/>
        <w:rPr>
          <w:sz w:val="20"/>
          <w:szCs w:val="20"/>
          <w:color w:val="auto"/>
        </w:rPr>
      </w:pPr>
    </w:p>
    <w:p>
      <w:pPr>
        <w:ind w:left="580" w:hanging="572"/>
        <w:spacing w:after="0"/>
        <w:tabs>
          <w:tab w:leader="none" w:pos="58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ROVISIONS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WARDS OTHER THAN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PTIONS AND</w:t>
      </w:r>
      <w:r>
        <w:rPr>
          <w:rFonts w:ascii="Times New Roman" w:cs="Times New Roman" w:eastAsia="Times New Roman" w:hAnsi="Times New Roman"/>
          <w:sz w:val="22"/>
          <w:szCs w:val="22"/>
          <w:b w:val="1"/>
          <w:bCs w:val="1"/>
          <w:color w:val="auto"/>
        </w:rPr>
        <w:t xml:space="preserve"> SAR</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right="20" w:firstLine="644"/>
        <w:spacing w:after="0" w:line="235" w:lineRule="auto"/>
        <w:tabs>
          <w:tab w:leader="none" w:pos="1212" w:val="left"/>
        </w:tabs>
        <w:numPr>
          <w:ilvl w:val="1"/>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Awards. </w:t>
      </w:r>
      <w:r>
        <w:rPr>
          <w:rFonts w:ascii="Times New Roman" w:cs="Times New Roman" w:eastAsia="Times New Roman" w:hAnsi="Times New Roman"/>
          <w:sz w:val="22"/>
          <w:szCs w:val="22"/>
          <w:color w:val="auto"/>
        </w:rPr>
        <w:t>Each Restricted Stock Award Agreement will be in such form and will contain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ind w:right="140" w:firstLine="1281"/>
        <w:spacing w:after="0" w:line="241" w:lineRule="auto"/>
        <w:tabs>
          <w:tab w:leader="none" w:pos="1801"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A Restricted Stock Award may be awarded in consideration for (A) cash, check, bank draft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money 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71" w:lineRule="exact"/>
        <w:rPr>
          <w:rFonts w:ascii="Times New Roman" w:cs="Times New Roman" w:eastAsia="Times New Roman" w:hAnsi="Times New Roman"/>
          <w:sz w:val="22"/>
          <w:szCs w:val="22"/>
          <w:b w:val="1"/>
          <w:bCs w:val="1"/>
          <w:color w:val="auto"/>
        </w:rPr>
      </w:pPr>
    </w:p>
    <w:p>
      <w:pPr>
        <w:ind w:firstLine="1281"/>
        <w:spacing w:after="0" w:line="262" w:lineRule="auto"/>
        <w:tabs>
          <w:tab w:leader="none" w:pos="1861"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Shares of Common Stock awarded under the Restricted Stock Award Agreement may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forfeiture to the Company in accordance with a vesting schedule to be determined by the Board.</w:t>
      </w:r>
    </w:p>
    <w:p>
      <w:pPr>
        <w:spacing w:after="0" w:line="149" w:lineRule="exact"/>
        <w:rPr>
          <w:rFonts w:ascii="Times New Roman" w:cs="Times New Roman" w:eastAsia="Times New Roman" w:hAnsi="Times New Roman"/>
          <w:sz w:val="22"/>
          <w:szCs w:val="22"/>
          <w:b w:val="1"/>
          <w:bCs w:val="1"/>
          <w:color w:val="auto"/>
        </w:rPr>
      </w:pPr>
    </w:p>
    <w:p>
      <w:pPr>
        <w:jc w:val="both"/>
        <w:ind w:right="160" w:firstLine="1281"/>
        <w:spacing w:after="0" w:line="246" w:lineRule="auto"/>
        <w:tabs>
          <w:tab w:leader="none" w:pos="1921"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Participant’s Continuous Service. </w:t>
      </w:r>
      <w:r>
        <w:rPr>
          <w:rFonts w:ascii="Times New Roman" w:cs="Times New Roman" w:eastAsia="Times New Roman" w:hAnsi="Times New Roman"/>
          <w:sz w:val="22"/>
          <w:szCs w:val="22"/>
          <w:color w:val="auto"/>
        </w:rPr>
        <w:t>If a Participant’s Continuous Service terminates,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receive through a forfeiture condition or a repurchase right any or all of the shares of Common Stock held by the Participant that have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vested as of the date of termination of Continuous Service under the terms of the Restricted Stock Award Agreement.</w:t>
      </w:r>
    </w:p>
    <w:p>
      <w:pPr>
        <w:spacing w:after="0" w:line="202" w:lineRule="exact"/>
        <w:rPr>
          <w:sz w:val="20"/>
          <w:szCs w:val="20"/>
          <w:color w:val="auto"/>
        </w:rPr>
      </w:pPr>
    </w:p>
    <w:p>
      <w:pPr>
        <w:ind w:right="80" w:firstLine="1281"/>
        <w:spacing w:after="0" w:line="241" w:lineRule="auto"/>
        <w:tabs>
          <w:tab w:leader="none" w:pos="1909" w:val="left"/>
        </w:tabs>
        <w:numPr>
          <w:ilvl w:val="1"/>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Rights to acquire shares of Common Stock under the Restricted Stock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1" w:lineRule="exact"/>
        <w:rPr>
          <w:rFonts w:ascii="Times New Roman" w:cs="Times New Roman" w:eastAsia="Times New Roman" w:hAnsi="Times New Roman"/>
          <w:sz w:val="22"/>
          <w:szCs w:val="22"/>
          <w:b w:val="1"/>
          <w:bCs w:val="1"/>
          <w:color w:val="auto"/>
        </w:rPr>
      </w:pPr>
    </w:p>
    <w:p>
      <w:pPr>
        <w:ind w:right="100" w:firstLine="1281"/>
        <w:spacing w:after="0" w:line="246" w:lineRule="auto"/>
        <w:tabs>
          <w:tab w:leader="none" w:pos="1849" w:val="left"/>
        </w:tabs>
        <w:numPr>
          <w:ilvl w:val="1"/>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A Restricted Stock Award Agreement may provide that any dividends paid on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subject to the same vesting and forfeiture restrictions as apply to the shares subject to the Restricted Stock Award to which they relate.</w:t>
      </w:r>
    </w:p>
    <w:p>
      <w:pPr>
        <w:spacing w:after="0" w:line="167" w:lineRule="exact"/>
        <w:rPr>
          <w:rFonts w:ascii="Times New Roman" w:cs="Times New Roman" w:eastAsia="Times New Roman" w:hAnsi="Times New Roman"/>
          <w:sz w:val="22"/>
          <w:szCs w:val="22"/>
          <w:b w:val="1"/>
          <w:bCs w:val="1"/>
          <w:color w:val="auto"/>
        </w:rPr>
      </w:pPr>
    </w:p>
    <w:p>
      <w:pPr>
        <w:ind w:firstLine="644"/>
        <w:spacing w:after="0" w:line="238" w:lineRule="auto"/>
        <w:tabs>
          <w:tab w:leader="none" w:pos="1116"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Unit Awards. </w:t>
      </w:r>
      <w:r>
        <w:rPr>
          <w:rFonts w:ascii="Times New Roman" w:cs="Times New Roman" w:eastAsia="Times New Roman" w:hAnsi="Times New Roman"/>
          <w:sz w:val="22"/>
          <w:szCs w:val="22"/>
          <w:color w:val="auto"/>
        </w:rPr>
        <w:t>Each Restricted Stock Unit Award Agreement will be in such form and will contain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6" w:lineRule="exact"/>
        <w:rPr>
          <w:rFonts w:ascii="Times New Roman" w:cs="Times New Roman" w:eastAsia="Times New Roman" w:hAnsi="Times New Roman"/>
          <w:sz w:val="22"/>
          <w:szCs w:val="22"/>
          <w:b w:val="1"/>
          <w:bCs w:val="1"/>
          <w:color w:val="auto"/>
        </w:rPr>
      </w:pPr>
    </w:p>
    <w:p>
      <w:pPr>
        <w:ind w:right="140" w:firstLine="1281"/>
        <w:spacing w:after="0" w:line="238" w:lineRule="auto"/>
        <w:tabs>
          <w:tab w:leader="none" w:pos="1801" w:val="left"/>
        </w:tabs>
        <w:numPr>
          <w:ilvl w:val="1"/>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At the time of grant of a Restricted Stock Unit Award, the Board will determine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22"/>
          <w:szCs w:val="22"/>
          <w:b w:val="1"/>
          <w:bCs w:val="1"/>
          <w:color w:val="auto"/>
        </w:rPr>
      </w:pPr>
    </w:p>
    <w:p>
      <w:pPr>
        <w:ind w:right="60" w:firstLine="1281"/>
        <w:spacing w:after="0" w:line="262" w:lineRule="auto"/>
        <w:tabs>
          <w:tab w:leader="none" w:pos="1861" w:val="left"/>
        </w:tabs>
        <w:numPr>
          <w:ilvl w:val="1"/>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At the time of the grant of a Restricted Stock Unit Award, the Board may impose such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or conditions to the vesting of the Restricted Stock Unit Award as it, in its sole discretion, deems appropriate.</w:t>
      </w:r>
    </w:p>
    <w:p>
      <w:pPr>
        <w:spacing w:after="0" w:line="149" w:lineRule="exact"/>
        <w:rPr>
          <w:rFonts w:ascii="Times New Roman" w:cs="Times New Roman" w:eastAsia="Times New Roman" w:hAnsi="Times New Roman"/>
          <w:sz w:val="22"/>
          <w:szCs w:val="22"/>
          <w:b w:val="1"/>
          <w:bCs w:val="1"/>
          <w:color w:val="auto"/>
        </w:rPr>
      </w:pPr>
    </w:p>
    <w:p>
      <w:pPr>
        <w:ind w:right="40" w:firstLine="1281"/>
        <w:spacing w:after="0" w:line="262" w:lineRule="auto"/>
        <w:tabs>
          <w:tab w:leader="none" w:pos="1921" w:val="left"/>
        </w:tabs>
        <w:numPr>
          <w:ilvl w:val="1"/>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 Restricted Stock Unit Award may be settled by the delivery of shares of Common Stock,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equivalent, any combination thereof or in any other form</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consideration, as determined by the Board and contained in the Restricted Stock Unit Award Agreement.</w:t>
      </w:r>
    </w:p>
    <w:p>
      <w:pPr>
        <w:spacing w:after="0" w:line="94" w:lineRule="exact"/>
        <w:rPr>
          <w:sz w:val="20"/>
          <w:szCs w:val="20"/>
          <w:color w:val="auto"/>
        </w:rPr>
      </w:pPr>
    </w:p>
    <w:p>
      <w:pPr>
        <w:ind w:right="80" w:firstLine="1281"/>
        <w:spacing w:after="0" w:line="246" w:lineRule="auto"/>
        <w:tabs>
          <w:tab w:leader="none" w:pos="1909"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Additional Restrictions. </w:t>
      </w:r>
      <w:r>
        <w:rPr>
          <w:rFonts w:ascii="Times New Roman" w:cs="Times New Roman" w:eastAsia="Times New Roman" w:hAnsi="Times New Roman"/>
          <w:sz w:val="22"/>
          <w:szCs w:val="22"/>
          <w:color w:val="auto"/>
        </w:rPr>
        <w:t>At the time of the grant of a Restricted Stock Unit Award, the Board, as it deems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may impose such restrictions or conditions that delay the delivery of the shares of Common Stock (or their cash equivalent) subject to a Restricted Stock Unit Award to a time after the vesting of such Restricted Stock Unit Award.</w:t>
      </w:r>
    </w:p>
    <w:p>
      <w:pPr>
        <w:spacing w:after="0" w:line="167" w:lineRule="exact"/>
        <w:rPr>
          <w:rFonts w:ascii="Times New Roman" w:cs="Times New Roman" w:eastAsia="Times New Roman" w:hAnsi="Times New Roman"/>
          <w:sz w:val="22"/>
          <w:szCs w:val="22"/>
          <w:b w:val="1"/>
          <w:bCs w:val="1"/>
          <w:color w:val="auto"/>
        </w:rPr>
      </w:pPr>
    </w:p>
    <w:p>
      <w:pPr>
        <w:jc w:val="both"/>
        <w:ind w:right="640" w:firstLine="1281"/>
        <w:spacing w:after="0" w:line="246" w:lineRule="auto"/>
        <w:tabs>
          <w:tab w:leader="none" w:pos="1849"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 Equivalents. </w:t>
      </w:r>
      <w:r>
        <w:rPr>
          <w:rFonts w:ascii="Times New Roman" w:cs="Times New Roman" w:eastAsia="Times New Roman" w:hAnsi="Times New Roman"/>
          <w:sz w:val="22"/>
          <w:szCs w:val="22"/>
          <w:color w:val="auto"/>
        </w:rPr>
        <w:t>Dividend equivalents may be credited in respect of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by a Restricted Stock Unit Award, as determined by the Board and contained in the Restricted Stock Unit Award Agreement. At the sole discretion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85"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22"/>
          <w:szCs w:val="22"/>
          <w:color w:val="auto"/>
        </w:rPr>
        <w:t>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6" w:lineRule="exact"/>
        <w:rPr>
          <w:sz w:val="20"/>
          <w:szCs w:val="20"/>
          <w:color w:val="auto"/>
        </w:rPr>
      </w:pPr>
    </w:p>
    <w:p>
      <w:pPr>
        <w:ind w:right="280" w:firstLine="1281"/>
        <w:spacing w:after="0" w:line="246" w:lineRule="auto"/>
        <w:tabs>
          <w:tab w:leader="none" w:pos="1909" w:val="left"/>
        </w:tabs>
        <w:numPr>
          <w:ilvl w:val="1"/>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Participant’s Continuous Service. </w:t>
      </w:r>
      <w:r>
        <w:rPr>
          <w:rFonts w:ascii="Times New Roman" w:cs="Times New Roman" w:eastAsia="Times New Roman" w:hAnsi="Times New Roman"/>
          <w:sz w:val="22"/>
          <w:szCs w:val="22"/>
          <w:color w:val="auto"/>
        </w:rPr>
        <w:t>Except as otherwise provided in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Award Agreement, such portion of the Restricted Stock Unit Award that has not vested will be forfeited upon the Participant’s termination of Continuous Service.</w:t>
      </w:r>
    </w:p>
    <w:p>
      <w:pPr>
        <w:spacing w:after="0" w:line="167" w:lineRule="exact"/>
        <w:rPr>
          <w:rFonts w:ascii="Times New Roman" w:cs="Times New Roman" w:eastAsia="Times New Roman" w:hAnsi="Times New Roman"/>
          <w:sz w:val="22"/>
          <w:szCs w:val="22"/>
          <w:b w:val="1"/>
          <w:bCs w:val="1"/>
          <w:color w:val="auto"/>
        </w:rPr>
      </w:pPr>
    </w:p>
    <w:p>
      <w:pPr>
        <w:ind w:left="1100" w:hanging="456"/>
        <w:spacing w:after="0"/>
        <w:tabs>
          <w:tab w:leader="none" w:pos="110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firstLine="1281"/>
        <w:spacing w:after="0" w:line="247" w:lineRule="auto"/>
        <w:tabs>
          <w:tab w:leader="none" w:pos="1801" w:val="left"/>
        </w:tabs>
        <w:numPr>
          <w:ilvl w:val="1"/>
          <w:numId w:val="1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Stock Awards</w:t>
      </w:r>
      <w:r>
        <w:rPr>
          <w:rFonts w:ascii="Times New Roman" w:cs="Times New Roman" w:eastAsia="Times New Roman" w:hAnsi="Times New Roman"/>
          <w:sz w:val="21"/>
          <w:szCs w:val="21"/>
          <w:color w:val="auto"/>
        </w:rPr>
        <w:t>. A Performance Stock Award is a Stock Award (covering a number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in excess of that set forth in Section 3(d) above) that is payable or that may be granted, may vest or 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may determine that cash may be used in payment of Performance Stock Awards.</w:t>
      </w:r>
    </w:p>
    <w:p>
      <w:pPr>
        <w:spacing w:after="0" w:line="171" w:lineRule="exact"/>
        <w:rPr>
          <w:rFonts w:ascii="Times New Roman" w:cs="Times New Roman" w:eastAsia="Times New Roman" w:hAnsi="Times New Roman"/>
          <w:sz w:val="21"/>
          <w:szCs w:val="21"/>
          <w:b w:val="1"/>
          <w:bCs w:val="1"/>
          <w:color w:val="auto"/>
        </w:rPr>
      </w:pPr>
    </w:p>
    <w:p>
      <w:pPr>
        <w:ind w:right="20" w:firstLine="1281"/>
        <w:spacing w:after="0" w:line="235" w:lineRule="auto"/>
        <w:tabs>
          <w:tab w:leader="none" w:pos="1861" w:val="left"/>
        </w:tabs>
        <w:numPr>
          <w:ilvl w:val="1"/>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Cash Awards</w:t>
      </w:r>
      <w:r>
        <w:rPr>
          <w:rFonts w:ascii="Times New Roman" w:cs="Times New Roman" w:eastAsia="Times New Roman" w:hAnsi="Times New Roman"/>
          <w:sz w:val="22"/>
          <w:szCs w:val="22"/>
          <w:color w:val="auto"/>
        </w:rPr>
        <w:t>. A Performance Cash Award is a cash award (for a dollar value not in excess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that set forth in Section 3(d) above)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may specify the form of payment of Performance Cash Awards, which may be cash or other property, or may provide for a Participant to have the</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option for his or her Performance Cash Award, or such portion thereof as the Board may specify, to be paid in whole or in part in cash or other property.</w:t>
      </w:r>
    </w:p>
    <w:p>
      <w:pPr>
        <w:spacing w:after="0" w:line="46" w:lineRule="exact"/>
        <w:rPr>
          <w:sz w:val="20"/>
          <w:szCs w:val="20"/>
          <w:color w:val="auto"/>
        </w:rPr>
      </w:pPr>
    </w:p>
    <w:p>
      <w:pPr>
        <w:ind w:right="60" w:firstLine="1281"/>
        <w:spacing w:after="0" w:line="238" w:lineRule="auto"/>
        <w:tabs>
          <w:tab w:leader="none" w:pos="1921"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162(m) Compliance</w:t>
      </w:r>
      <w:r>
        <w:rPr>
          <w:rFonts w:ascii="Times New Roman" w:cs="Times New Roman" w:eastAsia="Times New Roman" w:hAnsi="Times New Roman"/>
          <w:sz w:val="22"/>
          <w:szCs w:val="22"/>
          <w:color w:val="auto"/>
        </w:rPr>
        <w:t>. Unless otherwise permitted in compliance with the requirements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162(m) of the Code with respect to an Award intended to qualify as “performance-based compensation” thereunder, the Committee will establish the Performance Goals applicable to, and the formula for calculating the amount payable under, the Award no later than the earlier of (a) the date 90 days after the commencement of the applicable Performance Period, and (b) the date on which 25% of the Performance Period has elapsed,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5" w:name="page186"/>
    <w:bookmarkEnd w:id="185"/>
    <w:p>
      <w:pPr>
        <w:spacing w:after="0" w:line="77"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such relate solely to the increase in the value of the Common Stock). Notwithstanding satisfaction of any completion of any Performance Goals, the number of shares of Common Stock, Options, cash or other benefits granted, issued, retainable and/or vested under an Award on account of satisfaction of such Performance Goals may be reduced by the Committee on the basis of such further considerations as the Committee, in its sole discretion, will determine.</w:t>
      </w:r>
    </w:p>
    <w:p>
      <w:pPr>
        <w:spacing w:after="0" w:line="174" w:lineRule="exact"/>
        <w:rPr>
          <w:sz w:val="20"/>
          <w:szCs w:val="20"/>
          <w:color w:val="auto"/>
        </w:rPr>
      </w:pPr>
    </w:p>
    <w:p>
      <w:pPr>
        <w:ind w:firstLine="644"/>
        <w:spacing w:after="0" w:line="237" w:lineRule="auto"/>
        <w:tabs>
          <w:tab w:leader="none" w:pos="1116" w:val="left"/>
        </w:tabs>
        <w:numPr>
          <w:ilvl w:val="1"/>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Stock Awards</w:t>
      </w:r>
      <w:r>
        <w:rPr>
          <w:rFonts w:ascii="Times New Roman" w:cs="Times New Roman" w:eastAsia="Times New Roman" w:hAnsi="Times New Roman"/>
          <w:sz w:val="22"/>
          <w:szCs w:val="22"/>
          <w:color w:val="auto"/>
        </w:rPr>
        <w:t>. Other forms of Stock Awards valued in whole or in part by reference to, or otherwise 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Common Stock, including the appreciation in value thereof,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202"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OVENANTS 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OMPANY</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right="560" w:firstLine="644"/>
        <w:spacing w:after="0" w:line="262" w:lineRule="auto"/>
        <w:tabs>
          <w:tab w:leader="none" w:pos="1104" w:val="left"/>
        </w:tabs>
        <w:numPr>
          <w:ilvl w:val="1"/>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Availability of Shares. </w:t>
      </w:r>
      <w:r>
        <w:rPr>
          <w:rFonts w:ascii="Times New Roman" w:cs="Times New Roman" w:eastAsia="Times New Roman" w:hAnsi="Times New Roman"/>
          <w:sz w:val="22"/>
          <w:szCs w:val="22"/>
          <w:color w:val="auto"/>
        </w:rPr>
        <w:t>The Company will keep available at all times the number of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required to satisfy then-outstanding Awards.</w:t>
      </w:r>
    </w:p>
    <w:p>
      <w:pPr>
        <w:spacing w:after="0" w:line="149" w:lineRule="exact"/>
        <w:rPr>
          <w:rFonts w:ascii="Times New Roman" w:cs="Times New Roman" w:eastAsia="Times New Roman" w:hAnsi="Times New Roman"/>
          <w:sz w:val="22"/>
          <w:szCs w:val="22"/>
          <w:b w:val="1"/>
          <w:bCs w:val="1"/>
          <w:color w:val="auto"/>
        </w:rPr>
      </w:pPr>
    </w:p>
    <w:p>
      <w:pPr>
        <w:ind w:firstLine="644"/>
        <w:spacing w:after="0" w:line="247" w:lineRule="auto"/>
        <w:tabs>
          <w:tab w:leader="none" w:pos="1116" w:val="left"/>
        </w:tabs>
        <w:numPr>
          <w:ilvl w:val="1"/>
          <w:numId w:val="1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Securities Law Compliance. </w:t>
      </w:r>
      <w:r>
        <w:rPr>
          <w:rFonts w:ascii="Times New Roman" w:cs="Times New Roman" w:eastAsia="Times New Roman" w:hAnsi="Times New Roman"/>
          <w:sz w:val="21"/>
          <w:szCs w:val="21"/>
          <w:color w:val="auto"/>
        </w:rPr>
        <w:t>The Company will seek to obtain from each regulatory commission or agency having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jurisdiction over the Plan such authority as may be required to grant Stock Awards and to issue and sell shares of Common Stock upon exercise of the Stock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ind w:right="140" w:firstLine="644"/>
        <w:spacing w:after="0" w:line="238" w:lineRule="auto"/>
        <w:tabs>
          <w:tab w:leader="none" w:pos="120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Obligation to Notify or Minimize Taxes. </w:t>
      </w:r>
      <w:r>
        <w:rPr>
          <w:rFonts w:ascii="Times New Roman" w:cs="Times New Roman" w:eastAsia="Times New Roman" w:hAnsi="Times New Roman"/>
          <w:sz w:val="22"/>
          <w:szCs w:val="22"/>
          <w:color w:val="auto"/>
        </w:rPr>
        <w:t>The Company will have no duty or obligation to any Participant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6" w:name="page187"/>
    <w:bookmarkEnd w:id="186"/>
    <w:p>
      <w:pPr>
        <w:spacing w:after="0" w:line="208" w:lineRule="exact"/>
        <w:rPr>
          <w:sz w:val="20"/>
          <w:szCs w:val="20"/>
          <w:color w:val="auto"/>
        </w:rPr>
      </w:pPr>
    </w:p>
    <w:p>
      <w:pPr>
        <w:ind w:left="580" w:hanging="572"/>
        <w:spacing w:after="0"/>
        <w:tabs>
          <w:tab w:leader="none" w:pos="58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7"/>
          <w:szCs w:val="17"/>
          <w:b w:val="1"/>
          <w:bCs w:val="1"/>
          <w:color w:val="auto"/>
        </w:rPr>
        <w:t>ISCELLANEOUS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right="260" w:firstLine="644"/>
        <w:spacing w:after="0" w:line="262" w:lineRule="auto"/>
        <w:tabs>
          <w:tab w:leader="none" w:pos="1212" w:val="left"/>
        </w:tabs>
        <w:numPr>
          <w:ilvl w:val="1"/>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Use of Proceeds from Sales of Common Stock. </w:t>
      </w:r>
      <w:r>
        <w:rPr>
          <w:rFonts w:ascii="Times New Roman" w:cs="Times New Roman" w:eastAsia="Times New Roman" w:hAnsi="Times New Roman"/>
          <w:sz w:val="22"/>
          <w:szCs w:val="22"/>
          <w:color w:val="auto"/>
        </w:rPr>
        <w:t>Proceeds from the sale of shares of Common Stock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will constitute general funds of the Company.</w:t>
      </w:r>
    </w:p>
    <w:p>
      <w:pPr>
        <w:spacing w:after="0" w:line="149" w:lineRule="exact"/>
        <w:rPr>
          <w:rFonts w:ascii="Times New Roman" w:cs="Times New Roman" w:eastAsia="Times New Roman" w:hAnsi="Times New Roman"/>
          <w:sz w:val="22"/>
          <w:szCs w:val="22"/>
          <w:b w:val="1"/>
          <w:bCs w:val="1"/>
          <w:color w:val="auto"/>
        </w:rPr>
      </w:pPr>
    </w:p>
    <w:p>
      <w:pPr>
        <w:ind w:right="100" w:firstLine="644"/>
        <w:spacing w:after="0" w:line="235" w:lineRule="auto"/>
        <w:tabs>
          <w:tab w:leader="none" w:pos="1224" w:val="left"/>
        </w:tabs>
        <w:numPr>
          <w:ilvl w:val="1"/>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Action Constituting Grant of Awards. </w:t>
      </w:r>
      <w:r>
        <w:rPr>
          <w:rFonts w:ascii="Times New Roman" w:cs="Times New Roman" w:eastAsia="Times New Roman" w:hAnsi="Times New Roman"/>
          <w:sz w:val="22"/>
          <w:szCs w:val="22"/>
          <w:color w:val="auto"/>
        </w:rPr>
        <w:t>Corporate action constituting a grant by the Company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8" w:lineRule="exact"/>
        <w:rPr>
          <w:rFonts w:ascii="Times New Roman" w:cs="Times New Roman" w:eastAsia="Times New Roman" w:hAnsi="Times New Roman"/>
          <w:sz w:val="22"/>
          <w:szCs w:val="22"/>
          <w:b w:val="1"/>
          <w:bCs w:val="1"/>
          <w:color w:val="auto"/>
        </w:rPr>
      </w:pPr>
    </w:p>
    <w:p>
      <w:pPr>
        <w:ind w:firstLine="644"/>
        <w:spacing w:after="0" w:line="241" w:lineRule="auto"/>
        <w:tabs>
          <w:tab w:leader="none" w:pos="1200" w:val="left"/>
        </w:tabs>
        <w:numPr>
          <w:ilvl w:val="1"/>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Stockholder Rights. </w:t>
      </w:r>
      <w:r>
        <w:rPr>
          <w:rFonts w:ascii="Times New Roman" w:cs="Times New Roman" w:eastAsia="Times New Roman" w:hAnsi="Times New Roman"/>
          <w:sz w:val="22"/>
          <w:szCs w:val="22"/>
          <w:color w:val="auto"/>
        </w:rPr>
        <w:t>No Participant will be deemed to be the holder of, or to have any of the rights of a holder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1" w:lineRule="exact"/>
        <w:rPr>
          <w:rFonts w:ascii="Times New Roman" w:cs="Times New Roman" w:eastAsia="Times New Roman" w:hAnsi="Times New Roman"/>
          <w:sz w:val="22"/>
          <w:szCs w:val="22"/>
          <w:b w:val="1"/>
          <w:bCs w:val="1"/>
          <w:color w:val="auto"/>
        </w:rPr>
      </w:pPr>
    </w:p>
    <w:p>
      <w:pPr>
        <w:ind w:right="80" w:firstLine="644"/>
        <w:spacing w:after="0" w:line="236" w:lineRule="auto"/>
        <w:tabs>
          <w:tab w:leader="none" w:pos="1224" w:val="left"/>
        </w:tabs>
        <w:numPr>
          <w:ilvl w:val="1"/>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Employment or Other Service Rights. </w:t>
      </w:r>
      <w:r>
        <w:rPr>
          <w:rFonts w:ascii="Times New Roman" w:cs="Times New Roman" w:eastAsia="Times New Roman" w:hAnsi="Times New Roman"/>
          <w:sz w:val="22"/>
          <w:szCs w:val="22"/>
          <w:color w:val="auto"/>
        </w:rPr>
        <w:t>Nothing in the Plan, any Award Agreement or any other instrument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5" w:lineRule="exact"/>
        <w:rPr>
          <w:rFonts w:ascii="Times New Roman" w:cs="Times New Roman" w:eastAsia="Times New Roman" w:hAnsi="Times New Roman"/>
          <w:sz w:val="22"/>
          <w:szCs w:val="22"/>
          <w:b w:val="1"/>
          <w:bCs w:val="1"/>
          <w:color w:val="auto"/>
        </w:rPr>
      </w:pPr>
    </w:p>
    <w:p>
      <w:pPr>
        <w:jc w:val="both"/>
        <w:ind w:right="100" w:firstLine="644"/>
        <w:spacing w:after="0" w:line="241" w:lineRule="auto"/>
        <w:tabs>
          <w:tab w:leader="none" w:pos="1200" w:val="left"/>
        </w:tabs>
        <w:numPr>
          <w:ilvl w:val="1"/>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Time Commitment. </w:t>
      </w:r>
      <w:r>
        <w:rPr>
          <w:rFonts w:ascii="Times New Roman" w:cs="Times New Roman" w:eastAsia="Times New Roman" w:hAnsi="Times New Roman"/>
          <w:sz w:val="22"/>
          <w:szCs w:val="22"/>
          <w:color w:val="auto"/>
        </w:rPr>
        <w:t>In the event a Participant’s regular level of time commitment in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7" w:name="page188"/>
    <w:bookmarkEnd w:id="187"/>
    <w:p>
      <w:pPr>
        <w:ind w:right="160"/>
        <w:spacing w:after="0" w:line="258" w:lineRule="auto"/>
        <w:rPr>
          <w:sz w:val="20"/>
          <w:szCs w:val="20"/>
          <w:color w:val="auto"/>
        </w:rPr>
      </w:pPr>
      <w:r>
        <w:rPr>
          <w:rFonts w:ascii="Times New Roman" w:cs="Times New Roman" w:eastAsia="Times New Roman" w:hAnsi="Times New Roman"/>
          <w:sz w:val="22"/>
          <w:szCs w:val="22"/>
          <w:color w:val="auto"/>
        </w:rPr>
        <w:t>with such a reduction, extend the vesting or payment schedule applicable to such Award. In the event of any such reduction, the Participant will have no right with respect to any portion of the Award that is so reduced or extended.</w:t>
      </w:r>
    </w:p>
    <w:p>
      <w:pPr>
        <w:spacing w:after="0" w:line="154" w:lineRule="exact"/>
        <w:rPr>
          <w:sz w:val="20"/>
          <w:szCs w:val="20"/>
          <w:color w:val="auto"/>
        </w:rPr>
      </w:pPr>
    </w:p>
    <w:p>
      <w:pPr>
        <w:ind w:firstLine="644"/>
        <w:spacing w:after="0" w:line="250" w:lineRule="auto"/>
        <w:tabs>
          <w:tab w:leader="none" w:pos="1176" w:val="left"/>
        </w:tabs>
        <w:numPr>
          <w:ilvl w:val="0"/>
          <w:numId w:val="1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Incentive Stock Option Limitations. </w:t>
      </w:r>
      <w:r>
        <w:rPr>
          <w:rFonts w:ascii="Times New Roman" w:cs="Times New Roman" w:eastAsia="Times New Roman" w:hAnsi="Times New Roman"/>
          <w:sz w:val="21"/>
          <w:szCs w:val="21"/>
          <w:color w:val="auto"/>
        </w:rPr>
        <w:t>To the extent that the aggregate Fair Market Value (determined at the time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the rules will be treated as Nonstatutory Stock Options, notwithstanding any contrary provision of the applicable Option Agreement(s).</w:t>
      </w:r>
    </w:p>
    <w:p>
      <w:pPr>
        <w:spacing w:after="0" w:line="164" w:lineRule="exact"/>
        <w:rPr>
          <w:rFonts w:ascii="Times New Roman" w:cs="Times New Roman" w:eastAsia="Times New Roman" w:hAnsi="Times New Roman"/>
          <w:sz w:val="21"/>
          <w:szCs w:val="21"/>
          <w:b w:val="1"/>
          <w:bCs w:val="1"/>
          <w:color w:val="auto"/>
        </w:rPr>
      </w:pPr>
    </w:p>
    <w:p>
      <w:pPr>
        <w:ind w:firstLine="644"/>
        <w:spacing w:after="0" w:line="233" w:lineRule="auto"/>
        <w:tabs>
          <w:tab w:leader="none" w:pos="1212" w:val="left"/>
        </w:tabs>
        <w:numPr>
          <w:ilvl w:val="0"/>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Investment Assurances. </w:t>
      </w:r>
      <w:r>
        <w:rPr>
          <w:rFonts w:ascii="Times New Roman" w:cs="Times New Roman" w:eastAsia="Times New Roman" w:hAnsi="Times New Roman"/>
          <w:sz w:val="22"/>
          <w:szCs w:val="22"/>
          <w:color w:val="auto"/>
        </w:rPr>
        <w:t>The Company may require a Participant, as a condition of exercising or acquiring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9" w:lineRule="exact"/>
        <w:rPr>
          <w:rFonts w:ascii="Times New Roman" w:cs="Times New Roman" w:eastAsia="Times New Roman" w:hAnsi="Times New Roman"/>
          <w:sz w:val="22"/>
          <w:szCs w:val="22"/>
          <w:b w:val="1"/>
          <w:bCs w:val="1"/>
          <w:color w:val="auto"/>
        </w:rPr>
      </w:pPr>
    </w:p>
    <w:p>
      <w:pPr>
        <w:ind w:right="80" w:firstLine="644"/>
        <w:spacing w:after="0" w:line="235" w:lineRule="auto"/>
        <w:tabs>
          <w:tab w:leader="none" w:pos="1224" w:val="left"/>
        </w:tabs>
        <w:numPr>
          <w:ilvl w:val="0"/>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Unless prohibited by the terms of an Award Agreement, the Company may,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shares of Common Stock are withheld with a value exceeding the minimum amount of tax required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withheld by law (or such lesser amount as may be necessary to avoid classification of the Stock Award as a liability for financial accounting purposes); (iii) withholding cash from an Award settled in cash; (iv) withholding payment from any amounts otherwise payable to the Participant, including proceeds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from the sale of shares of Common Stock issued pursuant to a Stock Award; or (v) by such other method as may be set forth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8" w:name="page189"/>
    <w:bookmarkEnd w:id="188"/>
    <w:p>
      <w:pPr>
        <w:spacing w:after="0" w:line="181" w:lineRule="exact"/>
        <w:rPr>
          <w:sz w:val="20"/>
          <w:szCs w:val="20"/>
          <w:color w:val="auto"/>
        </w:rPr>
      </w:pPr>
    </w:p>
    <w:p>
      <w:pPr>
        <w:ind w:right="80" w:firstLine="644"/>
        <w:spacing w:after="0" w:line="246" w:lineRule="auto"/>
        <w:tabs>
          <w:tab w:leader="none" w:pos="1164"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Any reference herein to a “written” agreement or document will include any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delivered electronically, filed publicly at www.sec.gov (or any successor website thereto) or posted on the Company’s intranet (or other shared electronic medium controlled by the Company to which the Participant has access).</w:t>
      </w:r>
    </w:p>
    <w:p>
      <w:pPr>
        <w:spacing w:after="0" w:line="167" w:lineRule="exact"/>
        <w:rPr>
          <w:rFonts w:ascii="Times New Roman" w:cs="Times New Roman" w:eastAsia="Times New Roman" w:hAnsi="Times New Roman"/>
          <w:sz w:val="22"/>
          <w:szCs w:val="22"/>
          <w:b w:val="1"/>
          <w:bCs w:val="1"/>
          <w:color w:val="auto"/>
        </w:rPr>
      </w:pPr>
    </w:p>
    <w:p>
      <w:pPr>
        <w:ind w:right="20" w:firstLine="644"/>
        <w:spacing w:after="0" w:line="235" w:lineRule="auto"/>
        <w:tabs>
          <w:tab w:leader="none" w:pos="1176"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Deferrals. </w:t>
      </w:r>
      <w:r>
        <w:rPr>
          <w:rFonts w:ascii="Times New Roman" w:cs="Times New Roman" w:eastAsia="Times New Roman" w:hAnsi="Times New Roman"/>
          <w:sz w:val="22"/>
          <w:szCs w:val="22"/>
          <w:color w:val="auto"/>
        </w:rPr>
        <w:t>To the extent permitted by applicable law, the Board, in its sole discretion, may determine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(to the extent applicable to a Participant).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3" w:lineRule="exact"/>
        <w:rPr>
          <w:rFonts w:ascii="Times New Roman" w:cs="Times New Roman" w:eastAsia="Times New Roman" w:hAnsi="Times New Roman"/>
          <w:sz w:val="22"/>
          <w:szCs w:val="22"/>
          <w:b w:val="1"/>
          <w:bCs w:val="1"/>
          <w:color w:val="auto"/>
        </w:rPr>
      </w:pPr>
    </w:p>
    <w:p>
      <w:pPr>
        <w:ind w:firstLine="644"/>
        <w:spacing w:after="0" w:line="233" w:lineRule="auto"/>
        <w:tabs>
          <w:tab w:leader="none" w:pos="1224"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Section 409A. </w:t>
      </w:r>
      <w:r>
        <w:rPr>
          <w:rFonts w:ascii="Times New Roman" w:cs="Times New Roman" w:eastAsia="Times New Roman" w:hAnsi="Times New Roman"/>
          <w:sz w:val="22"/>
          <w:szCs w:val="22"/>
          <w:color w:val="auto"/>
        </w:rPr>
        <w:t>Unless otherwise expressly provided for in an Award Agreement,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(6) month period elapses, with the balance paid thereafter on the original schedule.</w:t>
      </w:r>
    </w:p>
    <w:p>
      <w:pPr>
        <w:spacing w:after="0" w:line="177" w:lineRule="exact"/>
        <w:rPr>
          <w:rFonts w:ascii="Times New Roman" w:cs="Times New Roman" w:eastAsia="Times New Roman" w:hAnsi="Times New Roman"/>
          <w:sz w:val="22"/>
          <w:szCs w:val="22"/>
          <w:b w:val="1"/>
          <w:bCs w:val="1"/>
          <w:color w:val="auto"/>
        </w:rPr>
      </w:pPr>
    </w:p>
    <w:p>
      <w:pPr>
        <w:ind w:right="180" w:firstLine="644"/>
        <w:spacing w:after="0" w:line="238" w:lineRule="auto"/>
        <w:tabs>
          <w:tab w:leader="none" w:pos="1164"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Clawback/Recovery</w:t>
      </w:r>
      <w:r>
        <w:rPr>
          <w:rFonts w:ascii="Times New Roman" w:cs="Times New Roman" w:eastAsia="Times New Roman" w:hAnsi="Times New Roman"/>
          <w:sz w:val="22"/>
          <w:szCs w:val="22"/>
          <w:color w:val="auto"/>
        </w:rPr>
        <w:t>. All Awards granted under the Plan will be subject to recoupment in accordance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239" w:lineRule="auto"/>
        <w:rPr>
          <w:sz w:val="20"/>
          <w:szCs w:val="20"/>
          <w:color w:val="auto"/>
        </w:rPr>
      </w:pPr>
      <w:r>
        <w:rPr>
          <w:rFonts w:ascii="Times New Roman" w:cs="Times New Roman" w:eastAsia="Times New Roman" w:hAnsi="Times New Roman"/>
          <w:sz w:val="22"/>
          <w:szCs w:val="22"/>
          <w:color w:val="auto"/>
        </w:rPr>
        <w:t>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 or an Affiliate.</w:t>
      </w:r>
    </w:p>
    <w:p>
      <w:pPr>
        <w:spacing w:after="0" w:line="203" w:lineRule="exact"/>
        <w:rPr>
          <w:sz w:val="20"/>
          <w:szCs w:val="20"/>
          <w:color w:val="auto"/>
        </w:rPr>
      </w:pPr>
    </w:p>
    <w:p>
      <w:pPr>
        <w:ind w:left="580" w:hanging="572"/>
        <w:spacing w:after="0"/>
        <w:tabs>
          <w:tab w:leader="none" w:pos="580"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DJUSTMENTS UPON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7"/>
          <w:szCs w:val="17"/>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ORPORATE</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VENTS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right="180" w:firstLine="644"/>
        <w:spacing w:after="0" w:line="237" w:lineRule="auto"/>
        <w:tabs>
          <w:tab w:leader="none" w:pos="1104" w:val="left"/>
        </w:tabs>
        <w:numPr>
          <w:ilvl w:val="1"/>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Capitalization Adjustments</w:t>
      </w:r>
      <w:r>
        <w:rPr>
          <w:rFonts w:ascii="Times New Roman" w:cs="Times New Roman" w:eastAsia="Times New Roman" w:hAnsi="Times New Roman"/>
          <w:sz w:val="22"/>
          <w:szCs w:val="22"/>
          <w:color w:val="auto"/>
        </w:rPr>
        <w:t>. In the event of a Capitalization Adjustment, the Board will appropriately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proportionately adjust: (i) the class(es) 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Sections 3(d), and (iv) the class(es) and number of securities and price per share of stock subject to outstanding Stock Awards. The Board will make such adjustments, and its determination will be final, binding and conclusive.</w:t>
      </w:r>
    </w:p>
    <w:p>
      <w:pPr>
        <w:spacing w:after="0" w:line="175" w:lineRule="exact"/>
        <w:rPr>
          <w:rFonts w:ascii="Times New Roman" w:cs="Times New Roman" w:eastAsia="Times New Roman" w:hAnsi="Times New Roman"/>
          <w:sz w:val="22"/>
          <w:szCs w:val="22"/>
          <w:b w:val="1"/>
          <w:bCs w:val="1"/>
          <w:color w:val="auto"/>
        </w:rPr>
      </w:pPr>
    </w:p>
    <w:p>
      <w:pPr>
        <w:ind w:right="80" w:firstLine="644"/>
        <w:spacing w:after="0" w:line="235" w:lineRule="auto"/>
        <w:tabs>
          <w:tab w:leader="none" w:pos="1116" w:val="left"/>
        </w:tabs>
        <w:numPr>
          <w:ilvl w:val="1"/>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Except as otherwise provided in the Stock Award Agreement, in the event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3" w:lineRule="exact"/>
        <w:rPr>
          <w:rFonts w:ascii="Times New Roman" w:cs="Times New Roman" w:eastAsia="Times New Roman" w:hAnsi="Times New Roman"/>
          <w:sz w:val="22"/>
          <w:szCs w:val="22"/>
          <w:b w:val="1"/>
          <w:bCs w:val="1"/>
          <w:color w:val="auto"/>
        </w:rPr>
      </w:pPr>
    </w:p>
    <w:p>
      <w:pPr>
        <w:ind w:right="60" w:firstLine="644"/>
        <w:spacing w:after="0" w:line="237" w:lineRule="auto"/>
        <w:tabs>
          <w:tab w:leader="none" w:pos="1092" w:val="left"/>
        </w:tabs>
        <w:numPr>
          <w:ilvl w:val="1"/>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Transaction. </w:t>
      </w:r>
      <w:r>
        <w:rPr>
          <w:rFonts w:ascii="Times New Roman" w:cs="Times New Roman" w:eastAsia="Times New Roman" w:hAnsi="Times New Roman"/>
          <w:sz w:val="22"/>
          <w:szCs w:val="22"/>
          <w:color w:val="auto"/>
        </w:rPr>
        <w:t>The following provisions will apply to Stock Awards in the event of a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unless otherwise 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Stock Awards, contingent upon the closing or completion of the Corporate Transaction:</w:t>
      </w:r>
    </w:p>
    <w:p>
      <w:pPr>
        <w:spacing w:after="0" w:line="179" w:lineRule="exact"/>
        <w:rPr>
          <w:rFonts w:ascii="Times New Roman" w:cs="Times New Roman" w:eastAsia="Times New Roman" w:hAnsi="Times New Roman"/>
          <w:sz w:val="22"/>
          <w:szCs w:val="22"/>
          <w:b w:val="1"/>
          <w:bCs w:val="1"/>
          <w:color w:val="auto"/>
        </w:rPr>
      </w:pPr>
    </w:p>
    <w:p>
      <w:pPr>
        <w:jc w:val="both"/>
        <w:ind w:right="80" w:firstLine="1281"/>
        <w:spacing w:after="0" w:line="239" w:lineRule="auto"/>
        <w:tabs>
          <w:tab w:leader="none" w:pos="1801" w:val="left"/>
        </w:tabs>
        <w:numPr>
          <w:ilvl w:val="2"/>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80" w:lineRule="exact"/>
        <w:rPr>
          <w:rFonts w:ascii="Times New Roman" w:cs="Times New Roman" w:eastAsia="Times New Roman" w:hAnsi="Times New Roman"/>
          <w:sz w:val="22"/>
          <w:szCs w:val="22"/>
          <w:b w:val="1"/>
          <w:bCs w:val="1"/>
          <w:color w:val="auto"/>
        </w:rPr>
      </w:pPr>
    </w:p>
    <w:p>
      <w:pPr>
        <w:ind w:right="500" w:firstLine="1281"/>
        <w:spacing w:after="0" w:line="258" w:lineRule="auto"/>
        <w:tabs>
          <w:tab w:leader="none" w:pos="1861" w:val="left"/>
        </w:tabs>
        <w:numPr>
          <w:ilvl w:val="2"/>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arrange for the assignment of any reacquisition or repurchase rights held by the Company in respect of Common Stock issued pursuant to the Stock Award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surviving corporation or acquiring corporation (or the surviving or acquiring corporation’s parent company);</w:t>
      </w:r>
    </w:p>
    <w:p>
      <w:pPr>
        <w:spacing w:after="0" w:line="206" w:lineRule="exact"/>
        <w:rPr>
          <w:sz w:val="20"/>
          <w:szCs w:val="20"/>
          <w:color w:val="auto"/>
        </w:rPr>
      </w:pPr>
    </w:p>
    <w:p>
      <w:pPr>
        <w:ind w:right="40" w:firstLine="1281"/>
        <w:spacing w:after="0" w:line="255" w:lineRule="auto"/>
        <w:tabs>
          <w:tab w:leader="none" w:pos="1921" w:val="left"/>
        </w:tabs>
        <w:numPr>
          <w:ilvl w:val="2"/>
          <w:numId w:val="1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161" w:lineRule="exact"/>
        <w:rPr>
          <w:rFonts w:ascii="Times New Roman" w:cs="Times New Roman" w:eastAsia="Times New Roman" w:hAnsi="Times New Roman"/>
          <w:sz w:val="21"/>
          <w:szCs w:val="21"/>
          <w:b w:val="1"/>
          <w:bCs w:val="1"/>
          <w:color w:val="auto"/>
        </w:rPr>
      </w:pPr>
    </w:p>
    <w:p>
      <w:pPr>
        <w:ind w:right="340" w:firstLine="1281"/>
        <w:spacing w:after="0" w:line="258" w:lineRule="auto"/>
        <w:tabs>
          <w:tab w:leader="none" w:pos="1909" w:val="left"/>
        </w:tabs>
        <w:numPr>
          <w:ilvl w:val="2"/>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arrange for the lapse, in whole or in part, of any reacquisition or repurchase rights held by the Company with respect to the Stock Award;</w:t>
      </w:r>
    </w:p>
    <w:p>
      <w:pPr>
        <w:spacing w:after="0" w:line="158" w:lineRule="exact"/>
        <w:rPr>
          <w:rFonts w:ascii="Times New Roman" w:cs="Times New Roman" w:eastAsia="Times New Roman" w:hAnsi="Times New Roman"/>
          <w:sz w:val="22"/>
          <w:szCs w:val="22"/>
          <w:b w:val="1"/>
          <w:bCs w:val="1"/>
          <w:color w:val="auto"/>
        </w:rPr>
      </w:pPr>
    </w:p>
    <w:p>
      <w:pPr>
        <w:ind w:right="200" w:firstLine="1281"/>
        <w:spacing w:after="0" w:line="244" w:lineRule="auto"/>
        <w:tabs>
          <w:tab w:leader="none" w:pos="1849" w:val="left"/>
        </w:tabs>
        <w:numPr>
          <w:ilvl w:val="2"/>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73" w:lineRule="exact"/>
        <w:rPr>
          <w:rFonts w:ascii="Times New Roman" w:cs="Times New Roman" w:eastAsia="Times New Roman" w:hAnsi="Times New Roman"/>
          <w:sz w:val="22"/>
          <w:szCs w:val="22"/>
          <w:b w:val="1"/>
          <w:bCs w:val="1"/>
          <w:color w:val="auto"/>
        </w:rPr>
      </w:pPr>
    </w:p>
    <w:p>
      <w:pPr>
        <w:ind w:right="140" w:firstLine="1281"/>
        <w:spacing w:after="0" w:line="238" w:lineRule="auto"/>
        <w:tabs>
          <w:tab w:leader="none" w:pos="1909" w:val="left"/>
        </w:tabs>
        <w:numPr>
          <w:ilvl w:val="2"/>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cancel or arrange for the cancellation of the Stock Award, to the extent not vested or not exercised prior to the effective time of the Corporate Transaction, in exchange for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w:t>
      </w:r>
    </w:p>
    <w:p>
      <w:pPr>
        <w:spacing w:after="0" w:line="176" w:lineRule="exact"/>
        <w:rPr>
          <w:rFonts w:ascii="Times New Roman" w:cs="Times New Roman" w:eastAsia="Times New Roman" w:hAnsi="Times New Roman"/>
          <w:sz w:val="22"/>
          <w:szCs w:val="22"/>
          <w:b w:val="1"/>
          <w:bCs w:val="1"/>
          <w:color w:val="auto"/>
        </w:rPr>
      </w:pPr>
    </w:p>
    <w:p>
      <w:pPr>
        <w:ind w:right="160" w:firstLine="1281"/>
        <w:spacing w:after="0" w:line="244" w:lineRule="auto"/>
        <w:tabs>
          <w:tab w:leader="none" w:pos="1699" w:val="left"/>
        </w:tabs>
        <w:numPr>
          <w:ilvl w:val="2"/>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9" w:lineRule="exact"/>
        <w:rPr>
          <w:rFonts w:ascii="Times New Roman" w:cs="Times New Roman" w:eastAsia="Times New Roman" w:hAnsi="Times New Roman"/>
          <w:sz w:val="22"/>
          <w:szCs w:val="22"/>
          <w:b w:val="1"/>
          <w:bCs w:val="1"/>
          <w:color w:val="auto"/>
        </w:rPr>
      </w:pPr>
    </w:p>
    <w:p>
      <w:pPr>
        <w:jc w:val="both"/>
        <w:ind w:right="40" w:firstLine="644"/>
        <w:spacing w:after="0" w:line="241" w:lineRule="auto"/>
        <w:tabs>
          <w:tab w:leader="none" w:pos="1224" w:val="left"/>
        </w:tabs>
        <w:numPr>
          <w:ilvl w:val="1"/>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A Stock Award may be subject to additional acceleration of vesting and exercisability upon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a 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98"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1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ERMINATION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USPENSION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firstLine="644"/>
        <w:spacing w:after="0" w:line="239" w:lineRule="auto"/>
        <w:tabs>
          <w:tab w:leader="none" w:pos="1104" w:val="left"/>
        </w:tabs>
        <w:numPr>
          <w:ilvl w:val="1"/>
          <w:numId w:val="1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may suspend or terminate the Plan at any time. No Incentive Stock Options may be granted after the tenth anniversary of the earlier of (i) the date the Plan is adopted by the Board (the “</w:t>
      </w:r>
      <w:r>
        <w:rPr>
          <w:rFonts w:ascii="Times New Roman" w:cs="Times New Roman" w:eastAsia="Times New Roman" w:hAnsi="Times New Roman"/>
          <w:sz w:val="22"/>
          <w:szCs w:val="22"/>
          <w:b w:val="1"/>
          <w:bCs w:val="1"/>
          <w:i w:val="1"/>
          <w:iCs w:val="1"/>
          <w:color w:val="auto"/>
        </w:rPr>
        <w:t>Adoption Date</w:t>
      </w:r>
      <w:r>
        <w:rPr>
          <w:rFonts w:ascii="Times New Roman" w:cs="Times New Roman" w:eastAsia="Times New Roman" w:hAnsi="Times New Roman"/>
          <w:sz w:val="22"/>
          <w:szCs w:val="22"/>
          <w:color w:val="auto"/>
        </w:rPr>
        <w:t>”), and (ii) the date the Plan is approved by the stockholders of the Company. No Awards may be granted under the Plan while the Plan is suspended or after it is terminated.</w:t>
      </w:r>
    </w:p>
    <w:p>
      <w:pPr>
        <w:spacing w:after="0" w:line="203"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1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XISTENCE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7"/>
          <w:szCs w:val="17"/>
          <w:b w:val="1"/>
          <w:bCs w:val="1"/>
          <w:color w:val="auto"/>
        </w:rPr>
        <w:t>IMING OF</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7"/>
          <w:szCs w:val="17"/>
          <w:b w:val="1"/>
          <w:bCs w:val="1"/>
          <w:color w:val="auto"/>
        </w:rPr>
        <w:t>IRST</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7"/>
          <w:szCs w:val="17"/>
          <w:b w:val="1"/>
          <w:bCs w:val="1"/>
          <w:color w:val="auto"/>
        </w:rPr>
        <w:t>RANT OR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p>
      <w:pPr>
        <w:spacing w:after="0" w:line="181" w:lineRule="exact"/>
        <w:rPr>
          <w:sz w:val="20"/>
          <w:szCs w:val="20"/>
          <w:color w:val="auto"/>
        </w:rPr>
      </w:pPr>
    </w:p>
    <w:p>
      <w:pPr>
        <w:ind w:right="40" w:firstLine="636"/>
        <w:spacing w:after="0" w:line="246" w:lineRule="auto"/>
        <w:rPr>
          <w:sz w:val="20"/>
          <w:szCs w:val="20"/>
          <w:color w:val="auto"/>
        </w:rPr>
      </w:pPr>
      <w:r>
        <w:rPr>
          <w:rFonts w:ascii="Times New Roman" w:cs="Times New Roman" w:eastAsia="Times New Roman" w:hAnsi="Times New Roman"/>
          <w:sz w:val="22"/>
          <w:szCs w:val="22"/>
          <w:color w:val="auto"/>
        </w:rPr>
        <w:t xml:space="preserve">The Plan will come into existence on the Adoption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Award may be granted prior to the IPO Date (that is, the Effective Date). In addition, no Stock Award will be exercised (or, in the case of a Restricted Stock Award, Restricted Stock Unit Award, Performance Stock Award, or Other Stock Award, will be granted) and no Performance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Cash Award will be settled unless and until the Plan has been approved by the stockholders of the Company, which approval will be within 12 months after the Adoption Date.</w:t>
      </w:r>
    </w:p>
    <w:p>
      <w:pPr>
        <w:spacing w:after="0" w:line="181" w:lineRule="exact"/>
        <w:rPr>
          <w:sz w:val="20"/>
          <w:szCs w:val="20"/>
          <w:color w:val="auto"/>
        </w:rPr>
      </w:pPr>
    </w:p>
    <w:p>
      <w:pPr>
        <w:ind w:left="580" w:hanging="572"/>
        <w:spacing w:after="0"/>
        <w:tabs>
          <w:tab w:leader="none" w:pos="580" w:val="left"/>
        </w:tabs>
        <w:numPr>
          <w:ilvl w:val="0"/>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HOICE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AW</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140" w:firstLine="636"/>
        <w:spacing w:after="0" w:line="258" w:lineRule="auto"/>
        <w:rPr>
          <w:sz w:val="20"/>
          <w:szCs w:val="20"/>
          <w:color w:val="auto"/>
        </w:rPr>
      </w:pPr>
      <w:r>
        <w:rPr>
          <w:rFonts w:ascii="Times New Roman" w:cs="Times New Roman" w:eastAsia="Times New Roman" w:hAnsi="Times New Roman"/>
          <w:sz w:val="22"/>
          <w:szCs w:val="22"/>
          <w:color w:val="auto"/>
        </w:rPr>
        <w:t>The law of the State of Delaware will govern all questions concerning the construction, validity and interpretation of this Plan, without regard to that state’s conflict of laws rules.</w:t>
      </w:r>
    </w:p>
    <w:p>
      <w:pPr>
        <w:spacing w:after="0" w:line="154" w:lineRule="exact"/>
        <w:rPr>
          <w:sz w:val="20"/>
          <w:szCs w:val="20"/>
          <w:color w:val="auto"/>
        </w:rPr>
      </w:pPr>
    </w:p>
    <w:p>
      <w:pPr>
        <w:ind w:left="540" w:hanging="532"/>
        <w:spacing w:after="0"/>
        <w:tabs>
          <w:tab w:leader="none" w:pos="540" w:val="left"/>
        </w:tabs>
        <w:numPr>
          <w:ilvl w:val="0"/>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7"/>
          <w:szCs w:val="17"/>
          <w:b w:val="1"/>
          <w:bCs w:val="1"/>
          <w:color w:val="auto"/>
        </w:rPr>
        <w:t>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in the Plan, the following definitions will apply to the capitalized terms indicated below:</w:t>
      </w:r>
    </w:p>
    <w:p>
      <w:pPr>
        <w:spacing w:after="0" w:line="204" w:lineRule="exact"/>
        <w:rPr>
          <w:rFonts w:ascii="Times New Roman" w:cs="Times New Roman" w:eastAsia="Times New Roman" w:hAnsi="Times New Roman"/>
          <w:sz w:val="22"/>
          <w:szCs w:val="22"/>
          <w:b w:val="1"/>
          <w:bCs w:val="1"/>
          <w:color w:val="auto"/>
        </w:rPr>
      </w:pPr>
    </w:p>
    <w:p>
      <w:pPr>
        <w:ind w:right="180" w:firstLine="644"/>
        <w:spacing w:after="0" w:line="247" w:lineRule="auto"/>
        <w:tabs>
          <w:tab w:leader="none" w:pos="1212" w:val="left"/>
        </w:tabs>
        <w:numPr>
          <w:ilvl w:val="1"/>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63" w:lineRule="exact"/>
        <w:rPr>
          <w:rFonts w:ascii="Times New Roman" w:cs="Times New Roman" w:eastAsia="Times New Roman" w:hAnsi="Times New Roman"/>
          <w:sz w:val="22"/>
          <w:szCs w:val="22"/>
          <w:b w:val="1"/>
          <w:bCs w:val="1"/>
          <w:color w:val="auto"/>
        </w:rPr>
      </w:pPr>
    </w:p>
    <w:p>
      <w:pPr>
        <w:ind w:left="1240" w:hanging="596"/>
        <w:spacing w:after="0"/>
        <w:tabs>
          <w:tab w:leader="none" w:pos="1240" w:val="left"/>
        </w:tabs>
        <w:numPr>
          <w:ilvl w:val="1"/>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means a Stock Award or a Performance Cash Award.</w:t>
      </w:r>
    </w:p>
    <w:p>
      <w:pPr>
        <w:spacing w:after="0" w:line="206" w:lineRule="exact"/>
        <w:rPr>
          <w:rFonts w:ascii="Times New Roman" w:cs="Times New Roman" w:eastAsia="Times New Roman" w:hAnsi="Times New Roman"/>
          <w:sz w:val="22"/>
          <w:szCs w:val="22"/>
          <w:b w:val="1"/>
          <w:bCs w:val="1"/>
          <w:color w:val="auto"/>
        </w:rPr>
      </w:pPr>
    </w:p>
    <w:p>
      <w:pPr>
        <w:ind w:right="120" w:firstLine="644"/>
        <w:spacing w:after="0" w:line="264" w:lineRule="auto"/>
        <w:tabs>
          <w:tab w:leader="none" w:pos="1200" w:val="left"/>
        </w:tabs>
        <w:numPr>
          <w:ilvl w:val="1"/>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means a written agreement between the Company and a Participant evidencing the terms and conditions of an Award.</w:t>
      </w:r>
    </w:p>
    <w:p>
      <w:pPr>
        <w:spacing w:after="0" w:line="145" w:lineRule="exact"/>
        <w:rPr>
          <w:rFonts w:ascii="Times New Roman" w:cs="Times New Roman" w:eastAsia="Times New Roman" w:hAnsi="Times New Roman"/>
          <w:sz w:val="22"/>
          <w:szCs w:val="22"/>
          <w:b w:val="1"/>
          <w:bCs w:val="1"/>
          <w:color w:val="auto"/>
        </w:rPr>
      </w:pPr>
    </w:p>
    <w:p>
      <w:pPr>
        <w:ind w:left="1240" w:hanging="596"/>
        <w:spacing w:after="0"/>
        <w:tabs>
          <w:tab w:leader="none" w:pos="1240" w:val="left"/>
        </w:tabs>
        <w:numPr>
          <w:ilvl w:val="1"/>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b w:val="1"/>
          <w:bCs w:val="1"/>
          <w:color w:val="auto"/>
        </w:rPr>
      </w:pPr>
    </w:p>
    <w:p>
      <w:pPr>
        <w:ind w:firstLine="644"/>
        <w:spacing w:after="0" w:line="249" w:lineRule="auto"/>
        <w:tabs>
          <w:tab w:leader="none" w:pos="1200" w:val="left"/>
        </w:tabs>
        <w:numPr>
          <w:ilvl w:val="1"/>
          <w:numId w:val="1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Capitalization Adjustment</w:t>
      </w:r>
      <w:r>
        <w:rPr>
          <w:rFonts w:ascii="Times New Roman" w:cs="Times New Roman" w:eastAsia="Times New Roman" w:hAnsi="Times New Roman"/>
          <w:sz w:val="21"/>
          <w:szCs w:val="21"/>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3" w:lineRule="exact"/>
        <w:rPr>
          <w:rFonts w:ascii="Times New Roman" w:cs="Times New Roman" w:eastAsia="Times New Roman" w:hAnsi="Times New Roman"/>
          <w:sz w:val="21"/>
          <w:szCs w:val="21"/>
          <w:b w:val="1"/>
          <w:bCs w:val="1"/>
          <w:color w:val="auto"/>
        </w:rPr>
      </w:pPr>
    </w:p>
    <w:p>
      <w:pPr>
        <w:ind w:left="1180" w:hanging="536"/>
        <w:spacing w:after="0"/>
        <w:tabs>
          <w:tab w:leader="none" w:pos="1180" w:val="left"/>
        </w:tabs>
        <w:numPr>
          <w:ilvl w:val="1"/>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each and every class of common stock of the Company, regardless of the number of votes</w:t>
      </w:r>
    </w:p>
    <w:p>
      <w:pPr>
        <w:spacing w:after="0" w:line="20"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 share.</w:t>
      </w:r>
    </w:p>
    <w:p>
      <w:pPr>
        <w:spacing w:after="0" w:line="176" w:lineRule="exact"/>
        <w:rPr>
          <w:rFonts w:ascii="Times New Roman" w:cs="Times New Roman" w:eastAsia="Times New Roman" w:hAnsi="Times New Roman"/>
          <w:sz w:val="22"/>
          <w:szCs w:val="22"/>
          <w:b w:val="1"/>
          <w:bCs w:val="1"/>
          <w:color w:val="auto"/>
        </w:rPr>
      </w:pPr>
    </w:p>
    <w:p>
      <w:pPr>
        <w:ind w:right="420" w:firstLine="644"/>
        <w:spacing w:after="0" w:line="247" w:lineRule="auto"/>
        <w:tabs>
          <w:tab w:leader="none" w:pos="1212" w:val="left"/>
        </w:tabs>
        <w:numPr>
          <w:ilvl w:val="1"/>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will have the meaning ascribed to such term in any written agreement between the Participant and the Company defining such term and, in the absence of such agreement, such term means, with respect to a Participant, the occurrence of any one or more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events: (i) the Participant’s commission of any felony or any crime involving fraud, dishonesty or moral turpitude;</w:t>
      </w:r>
    </w:p>
    <w:p>
      <w:pPr>
        <w:spacing w:after="0" w:line="26" w:lineRule="exact"/>
        <w:rPr>
          <w:sz w:val="20"/>
          <w:szCs w:val="20"/>
          <w:color w:val="auto"/>
        </w:rPr>
      </w:pPr>
    </w:p>
    <w:p>
      <w:pPr>
        <w:jc w:val="both"/>
        <w:ind w:firstLine="8"/>
        <w:spacing w:after="0" w:line="233" w:lineRule="auto"/>
        <w:tabs>
          <w:tab w:leader="none" w:pos="31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attempted commission of or participation in a fraud or act of dishonesty against the Company that results in (or might have reasonably resulted in) material harm to the business of the Company; (iii) the Participant’s intentional, material violation of any contract or agreement between the Participant and the Company or any statutory duty that the Participant owes to the Company; or (iv) the Participant’s unauthorized use or disclosure of the Company’s confidential information or trade secrets; or (v) the Participant’s conduct that constitutes gross insubordination, incompetence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habitual neglect of duties and that results in (or might have reasonably resulted in) material harm to the business of the Company.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the Participant for any other purpose.</w:t>
      </w:r>
    </w:p>
    <w:p>
      <w:pPr>
        <w:spacing w:after="0" w:line="171" w:lineRule="exact"/>
        <w:rPr>
          <w:sz w:val="20"/>
          <w:szCs w:val="20"/>
          <w:color w:val="auto"/>
        </w:rPr>
      </w:pPr>
    </w:p>
    <w:p>
      <w:pPr>
        <w:ind w:right="180" w:firstLine="644"/>
        <w:spacing w:after="0" w:line="264" w:lineRule="auto"/>
        <w:tabs>
          <w:tab w:leader="none" w:pos="1116"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1" w:lineRule="exact"/>
        <w:rPr>
          <w:rFonts w:ascii="Times New Roman" w:cs="Times New Roman" w:eastAsia="Times New Roman" w:hAnsi="Times New Roman"/>
          <w:sz w:val="22"/>
          <w:szCs w:val="22"/>
          <w:b w:val="1"/>
          <w:bCs w:val="1"/>
          <w:color w:val="auto"/>
        </w:rPr>
      </w:pPr>
    </w:p>
    <w:p>
      <w:pPr>
        <w:ind w:right="20" w:firstLine="1281"/>
        <w:spacing w:after="0" w:line="244" w:lineRule="auto"/>
        <w:tabs>
          <w:tab w:leader="none" w:pos="1801" w:val="left"/>
        </w:tabs>
        <w:numPr>
          <w:ilvl w:val="1"/>
          <w:numId w:val="1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1"/>
          <w:szCs w:val="21"/>
          <w:b w:val="1"/>
          <w:bCs w:val="1"/>
          <w:i w:val="1"/>
          <w:iCs w:val="1"/>
          <w:color w:val="auto"/>
        </w:rPr>
        <w:t>Subject Person</w:t>
      </w:r>
      <w:r>
        <w:rPr>
          <w:rFonts w:ascii="Times New Roman" w:cs="Times New Roman" w:eastAsia="Times New Roman" w:hAnsi="Times New Roman"/>
          <w:sz w:val="21"/>
          <w:szCs w:val="21"/>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3" w:lineRule="exact"/>
        <w:rPr>
          <w:rFonts w:ascii="Times New Roman" w:cs="Times New Roman" w:eastAsia="Times New Roman" w:hAnsi="Times New Roman"/>
          <w:sz w:val="21"/>
          <w:szCs w:val="21"/>
          <w:b w:val="1"/>
          <w:bCs w:val="1"/>
          <w:color w:val="auto"/>
        </w:rPr>
      </w:pPr>
    </w:p>
    <w:p>
      <w:pPr>
        <w:ind w:right="40" w:firstLine="1281"/>
        <w:spacing w:after="0" w:line="238" w:lineRule="auto"/>
        <w:tabs>
          <w:tab w:leader="none" w:pos="1861" w:val="left"/>
        </w:tabs>
        <w:numPr>
          <w:ilvl w:val="1"/>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8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3" w:lineRule="exact"/>
        <w:rPr>
          <w:sz w:val="20"/>
          <w:szCs w:val="20"/>
          <w:color w:val="auto"/>
        </w:rPr>
      </w:pPr>
    </w:p>
    <w:p>
      <w:pPr>
        <w:ind w:firstLine="1281"/>
        <w:spacing w:after="0" w:line="236" w:lineRule="auto"/>
        <w:tabs>
          <w:tab w:leader="none" w:pos="1921" w:val="left"/>
        </w:tabs>
        <w:numPr>
          <w:ilvl w:val="0"/>
          <w:numId w:val="2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0"/>
          <w:szCs w:val="20"/>
          <w:color w:val="auto"/>
        </w:rPr>
      </w:pPr>
    </w:p>
    <w:p>
      <w:pPr>
        <w:ind w:right="140" w:firstLine="1281"/>
        <w:spacing w:after="0" w:line="239" w:lineRule="auto"/>
        <w:tabs>
          <w:tab w:leader="none" w:pos="1909" w:val="left"/>
        </w:tabs>
        <w:numPr>
          <w:ilvl w:val="0"/>
          <w:numId w:val="2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individuals who, on the date the Plan is adopted by the Board, are members of the Board (the “</w:t>
      </w:r>
      <w:r>
        <w:rPr>
          <w:rFonts w:ascii="Times New Roman" w:cs="Times New Roman" w:eastAsia="Times New Roman" w:hAnsi="Times New Roman"/>
          <w:sz w:val="22"/>
          <w:szCs w:val="22"/>
          <w:b w:val="1"/>
          <w:bCs w:val="1"/>
          <w:i w:val="1"/>
          <w:iCs w:val="1"/>
          <w:color w:val="auto"/>
        </w:rPr>
        <w:t>Incumbent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cease for any reason to constitute at least a majority of the members of the Board;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77" w:lineRule="exact"/>
        <w:rPr>
          <w:sz w:val="20"/>
          <w:szCs w:val="20"/>
          <w:color w:val="auto"/>
        </w:rPr>
      </w:pPr>
    </w:p>
    <w:p>
      <w:pPr>
        <w:ind w:firstLine="636"/>
        <w:spacing w:after="0" w:line="244" w:lineRule="auto"/>
        <w:rPr>
          <w:sz w:val="20"/>
          <w:szCs w:val="20"/>
          <w:color w:val="auto"/>
        </w:rPr>
      </w:pPr>
      <w:r>
        <w:rPr>
          <w:rFonts w:ascii="Times New Roman" w:cs="Times New Roman" w:eastAsia="Times New Roman" w:hAnsi="Times New Roman"/>
          <w:sz w:val="21"/>
          <w:szCs w:val="21"/>
          <w:color w:val="auto"/>
        </w:rPr>
        <w:t xml:space="preserve">For purposes of determining voting power under the term Change in Control, voting power shall be calculated by assuming the conversion of all equity securities convertible (immediately or at some future time) into shares entitled to vote, but not assuming the exercise of any warrant or right to subscribe to or purchase those shares. In addition, (A) the term Change in Control will not include a sale of assets, merger or other transaction effected exclusively for the purpose of changing the domicile of the Company, (B) the term Change in Control will not include a change in the voting power of any one or more stockholders as a result of the conversion of any class of the Company’s securities into another class of the Company’s securities having a different number of votes per share pursuant to the conversion provisions set forth in the Company’s Amended and Restated Certificate of Incorporation, and (C)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no definition of Change in Control or any analogous term is set forth in such an individual written agreement, the foregoing definition will apply.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70" w:lineRule="exact"/>
        <w:rPr>
          <w:sz w:val="20"/>
          <w:szCs w:val="20"/>
          <w:color w:val="auto"/>
        </w:rPr>
      </w:pPr>
    </w:p>
    <w:p>
      <w:pPr>
        <w:ind w:left="1120" w:hanging="476"/>
        <w:spacing w:after="0"/>
        <w:tabs>
          <w:tab w:leader="none" w:pos="1120"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including any applicable regulations and guidance</w:t>
      </w:r>
    </w:p>
    <w:p>
      <w:pPr>
        <w:spacing w:after="0" w:line="20"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79" w:lineRule="exact"/>
        <w:rPr>
          <w:sz w:val="20"/>
          <w:szCs w:val="20"/>
          <w:color w:val="auto"/>
        </w:rPr>
      </w:pPr>
    </w:p>
    <w:p>
      <w:pPr>
        <w:ind w:right="260" w:firstLine="644"/>
        <w:spacing w:after="0" w:line="264" w:lineRule="auto"/>
        <w:tabs>
          <w:tab w:leader="none" w:pos="1122"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a committee of one or more Directors to whom authority has been delegated by the Board in accordance with Section 2(c).</w:t>
      </w:r>
    </w:p>
    <w:p>
      <w:pPr>
        <w:spacing w:after="0" w:line="145" w:lineRule="exact"/>
        <w:rPr>
          <w:rFonts w:ascii="Times New Roman" w:cs="Times New Roman" w:eastAsia="Times New Roman" w:hAnsi="Times New Roman"/>
          <w:sz w:val="22"/>
          <w:szCs w:val="22"/>
          <w:b w:val="1"/>
          <w:bCs w:val="1"/>
          <w:color w:val="auto"/>
        </w:rPr>
      </w:pPr>
    </w:p>
    <w:p>
      <w:pPr>
        <w:ind w:left="1180" w:hanging="536"/>
        <w:spacing w:after="0"/>
        <w:tabs>
          <w:tab w:leader="none" w:pos="1180"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as of the IPO Date, the common stock of the Company, having one vote per share.</w:t>
      </w:r>
    </w:p>
    <w:p>
      <w:pPr>
        <w:spacing w:after="0" w:line="206" w:lineRule="exact"/>
        <w:rPr>
          <w:rFonts w:ascii="Times New Roman" w:cs="Times New Roman" w:eastAsia="Times New Roman" w:hAnsi="Times New Roman"/>
          <w:sz w:val="22"/>
          <w:szCs w:val="22"/>
          <w:b w:val="1"/>
          <w:bCs w:val="1"/>
          <w:color w:val="auto"/>
        </w:rPr>
      </w:pPr>
    </w:p>
    <w:p>
      <w:pPr>
        <w:ind w:left="1180" w:hanging="536"/>
        <w:spacing w:after="0"/>
        <w:tabs>
          <w:tab w:leader="none" w:pos="1180"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Kyntra Bio, Inc., a Delaware corporation.</w:t>
      </w:r>
    </w:p>
    <w:p>
      <w:pPr>
        <w:spacing w:after="0" w:line="206" w:lineRule="exact"/>
        <w:rPr>
          <w:rFonts w:ascii="Times New Roman" w:cs="Times New Roman" w:eastAsia="Times New Roman" w:hAnsi="Times New Roman"/>
          <w:sz w:val="22"/>
          <w:szCs w:val="22"/>
          <w:b w:val="1"/>
          <w:bCs w:val="1"/>
          <w:color w:val="auto"/>
        </w:rPr>
      </w:pPr>
    </w:p>
    <w:p>
      <w:pPr>
        <w:ind w:right="40" w:firstLine="644"/>
        <w:spacing w:after="0" w:line="239" w:lineRule="auto"/>
        <w:tabs>
          <w:tab w:leader="none" w:pos="1176"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S-8 Registration Statement under the Securities Act is available to register either the offer or the sale of the Company’s securities to such person.</w:t>
      </w:r>
    </w:p>
    <w:p>
      <w:pPr>
        <w:spacing w:after="0" w:line="152" w:lineRule="exact"/>
        <w:rPr>
          <w:sz w:val="20"/>
          <w:szCs w:val="20"/>
          <w:color w:val="auto"/>
        </w:rPr>
      </w:pPr>
    </w:p>
    <w:p>
      <w:pPr>
        <w:ind w:firstLine="644"/>
        <w:spacing w:after="0" w:line="233" w:lineRule="auto"/>
        <w:tabs>
          <w:tab w:leader="none" w:pos="1116"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Continuous Service</w:t>
      </w:r>
      <w:r>
        <w:rPr>
          <w:rFonts w:ascii="Times New Roman" w:cs="Times New Roman" w:eastAsia="Times New Roman" w:hAnsi="Times New Roman"/>
          <w:sz w:val="22"/>
          <w:szCs w:val="22"/>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71" w:lineRule="exact"/>
        <w:rPr>
          <w:rFonts w:ascii="Times New Roman" w:cs="Times New Roman" w:eastAsia="Times New Roman" w:hAnsi="Times New Roman"/>
          <w:sz w:val="22"/>
          <w:szCs w:val="22"/>
          <w:b w:val="1"/>
          <w:bCs w:val="1"/>
          <w:color w:val="auto"/>
        </w:rPr>
      </w:pPr>
    </w:p>
    <w:p>
      <w:pPr>
        <w:ind w:right="160" w:firstLine="644"/>
        <w:spacing w:after="0" w:line="264" w:lineRule="auto"/>
        <w:tabs>
          <w:tab w:leader="none" w:pos="1104"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5" w:name="page196"/>
    <w:bookmarkEnd w:id="195"/>
    <w:p>
      <w:pPr>
        <w:spacing w:after="0" w:line="185" w:lineRule="exact"/>
        <w:rPr>
          <w:sz w:val="20"/>
          <w:szCs w:val="20"/>
          <w:color w:val="auto"/>
        </w:rPr>
      </w:pPr>
    </w:p>
    <w:p>
      <w:pPr>
        <w:ind w:right="100" w:firstLine="1281"/>
        <w:spacing w:after="0" w:line="258" w:lineRule="auto"/>
        <w:tabs>
          <w:tab w:leader="none" w:pos="1855"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sale or other disposition of all or substantially all, as determined by the Board, in its sole discretion, of the consolidated assets of the Company and its Subsidiaries;</w:t>
      </w:r>
    </w:p>
    <w:p>
      <w:pPr>
        <w:spacing w:after="0" w:line="158" w:lineRule="exact"/>
        <w:rPr>
          <w:rFonts w:ascii="Times New Roman" w:cs="Times New Roman" w:eastAsia="Times New Roman" w:hAnsi="Times New Roman"/>
          <w:sz w:val="22"/>
          <w:szCs w:val="22"/>
          <w:b w:val="1"/>
          <w:bCs w:val="1"/>
          <w:color w:val="auto"/>
        </w:rPr>
      </w:pPr>
    </w:p>
    <w:p>
      <w:pPr>
        <w:ind w:left="1920" w:hanging="639"/>
        <w:spacing w:after="0"/>
        <w:tabs>
          <w:tab w:leader="none" w:pos="1920"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sale or other disposition of at least 90% of the outstanding securities of the</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2"/>
          <w:szCs w:val="22"/>
          <w:b w:val="1"/>
          <w:bCs w:val="1"/>
          <w:color w:val="auto"/>
        </w:rPr>
      </w:pPr>
    </w:p>
    <w:p>
      <w:pPr>
        <w:ind w:right="300" w:firstLine="1281"/>
        <w:spacing w:after="0" w:line="258" w:lineRule="auto"/>
        <w:tabs>
          <w:tab w:leader="none" w:pos="1921"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merger, consolidation or similar transaction following which the Company is not the surviving corporation; or</w:t>
      </w:r>
    </w:p>
    <w:p>
      <w:pPr>
        <w:spacing w:after="0" w:line="158" w:lineRule="exact"/>
        <w:rPr>
          <w:rFonts w:ascii="Times New Roman" w:cs="Times New Roman" w:eastAsia="Times New Roman" w:hAnsi="Times New Roman"/>
          <w:sz w:val="22"/>
          <w:szCs w:val="22"/>
          <w:b w:val="1"/>
          <w:bCs w:val="1"/>
          <w:color w:val="auto"/>
        </w:rPr>
      </w:pPr>
    </w:p>
    <w:p>
      <w:pPr>
        <w:ind w:right="160" w:firstLine="1281"/>
        <w:spacing w:after="0" w:line="239" w:lineRule="auto"/>
        <w:tabs>
          <w:tab w:leader="none" w:pos="1909"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0" w:lineRule="exact"/>
        <w:rPr>
          <w:sz w:val="20"/>
          <w:szCs w:val="20"/>
          <w:color w:val="auto"/>
        </w:rPr>
      </w:pPr>
    </w:p>
    <w:p>
      <w:pPr>
        <w:ind w:right="300" w:firstLine="636"/>
        <w:spacing w:after="0" w:line="258" w:lineRule="auto"/>
        <w:rPr>
          <w:sz w:val="20"/>
          <w:szCs w:val="20"/>
          <w:color w:val="auto"/>
        </w:rPr>
      </w:pPr>
      <w:r>
        <w:rPr>
          <w:rFonts w:ascii="Times New Roman" w:cs="Times New Roman" w:eastAsia="Times New Roman" w:hAnsi="Times New Roman"/>
          <w:sz w:val="22"/>
          <w:szCs w:val="22"/>
          <w:color w:val="auto"/>
        </w:rPr>
        <w:t>To the extent required for compliance with Section 409A of the Code, in no event will an event be deemed a Corporate Transaction if such transaction is not also a “change in the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ind w:right="640"/>
        <w:spacing w:after="0" w:line="244" w:lineRule="auto"/>
        <w:rPr>
          <w:sz w:val="20"/>
          <w:szCs w:val="20"/>
          <w:color w:val="auto"/>
        </w:rPr>
      </w:pPr>
      <w:r>
        <w:rPr>
          <w:rFonts w:ascii="Times New Roman" w:cs="Times New Roman" w:eastAsia="Times New Roman" w:hAnsi="Times New Roman"/>
          <w:sz w:val="22"/>
          <w:szCs w:val="22"/>
          <w:color w:val="auto"/>
        </w:rPr>
        <w:t>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167" w:lineRule="exact"/>
        <w:rPr>
          <w:sz w:val="20"/>
          <w:szCs w:val="20"/>
          <w:color w:val="auto"/>
        </w:rPr>
      </w:pPr>
    </w:p>
    <w:p>
      <w:pPr>
        <w:ind w:left="1120" w:hanging="476"/>
        <w:spacing w:after="0"/>
        <w:tabs>
          <w:tab w:leader="none" w:pos="112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Employee</w:t>
      </w:r>
      <w:r>
        <w:rPr>
          <w:rFonts w:ascii="Times New Roman" w:cs="Times New Roman" w:eastAsia="Times New Roman" w:hAnsi="Times New Roman"/>
          <w:sz w:val="22"/>
          <w:szCs w:val="22"/>
          <w:color w:val="auto"/>
        </w:rPr>
        <w:t>” will have the meaning provided in Section 162(m)(3) of the Code.</w:t>
      </w:r>
    </w:p>
    <w:p>
      <w:pPr>
        <w:spacing w:after="0" w:line="206" w:lineRule="exact"/>
        <w:rPr>
          <w:rFonts w:ascii="Times New Roman" w:cs="Times New Roman" w:eastAsia="Times New Roman" w:hAnsi="Times New Roman"/>
          <w:sz w:val="22"/>
          <w:szCs w:val="22"/>
          <w:b w:val="1"/>
          <w:bCs w:val="1"/>
          <w:color w:val="auto"/>
        </w:rPr>
      </w:pPr>
    </w:p>
    <w:p>
      <w:pPr>
        <w:ind w:left="1120" w:hanging="476"/>
        <w:spacing w:after="0"/>
        <w:tabs>
          <w:tab w:leader="none" w:pos="112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b w:val="1"/>
          <w:bCs w:val="1"/>
          <w:color w:val="auto"/>
        </w:rPr>
      </w:pPr>
    </w:p>
    <w:p>
      <w:pPr>
        <w:jc w:val="both"/>
        <w:ind w:right="40" w:firstLine="644"/>
        <w:spacing w:after="0" w:line="251" w:lineRule="auto"/>
        <w:tabs>
          <w:tab w:leader="none" w:pos="1092" w:val="left"/>
        </w:tabs>
        <w:numPr>
          <w:ilvl w:val="0"/>
          <w:numId w:val="2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w:t>
      </w:r>
    </w:p>
    <w:p>
      <w:pPr>
        <w:spacing w:after="0" w:line="1" w:lineRule="exact"/>
        <w:rPr>
          <w:rFonts w:ascii="Times New Roman" w:cs="Times New Roman" w:eastAsia="Times New Roman" w:hAnsi="Times New Roman"/>
          <w:sz w:val="21"/>
          <w:szCs w:val="21"/>
          <w:b w:val="1"/>
          <w:bCs w:val="1"/>
          <w:color w:val="auto"/>
        </w:rPr>
      </w:pPr>
    </w:p>
    <w:p>
      <w:pPr>
        <w:ind w:right="240"/>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(2)(c)(i) of the Code, and will be determined by the Board on the basis of such medical evidence as the Board deems warranted under the circumstances.</w:t>
      </w:r>
    </w:p>
    <w:p>
      <w:pPr>
        <w:spacing w:after="0" w:line="172" w:lineRule="exact"/>
        <w:rPr>
          <w:rFonts w:ascii="Times New Roman" w:cs="Times New Roman" w:eastAsia="Times New Roman" w:hAnsi="Times New Roman"/>
          <w:sz w:val="21"/>
          <w:szCs w:val="21"/>
          <w:b w:val="1"/>
          <w:bCs w:val="1"/>
          <w:color w:val="auto"/>
        </w:rPr>
      </w:pPr>
    </w:p>
    <w:p>
      <w:pPr>
        <w:ind w:left="1080" w:hanging="436"/>
        <w:spacing w:after="0"/>
        <w:tabs>
          <w:tab w:leader="none" w:pos="108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means the IPO Date.</w:t>
      </w:r>
    </w:p>
    <w:p>
      <w:pPr>
        <w:spacing w:after="0" w:line="206" w:lineRule="exact"/>
        <w:rPr>
          <w:rFonts w:ascii="Times New Roman" w:cs="Times New Roman" w:eastAsia="Times New Roman" w:hAnsi="Times New Roman"/>
          <w:sz w:val="22"/>
          <w:szCs w:val="22"/>
          <w:b w:val="1"/>
          <w:bCs w:val="1"/>
          <w:color w:val="auto"/>
        </w:rPr>
      </w:pPr>
    </w:p>
    <w:p>
      <w:pPr>
        <w:ind w:right="200" w:firstLine="644"/>
        <w:spacing w:after="0" w:line="264" w:lineRule="auto"/>
        <w:tabs>
          <w:tab w:leader="none" w:pos="1068"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45" w:lineRule="exact"/>
        <w:rPr>
          <w:rFonts w:ascii="Times New Roman" w:cs="Times New Roman" w:eastAsia="Times New Roman" w:hAnsi="Times New Roman"/>
          <w:sz w:val="22"/>
          <w:szCs w:val="22"/>
          <w:b w:val="1"/>
          <w:bCs w:val="1"/>
          <w:color w:val="auto"/>
        </w:rPr>
      </w:pPr>
    </w:p>
    <w:p>
      <w:pPr>
        <w:ind w:left="1120" w:hanging="476"/>
        <w:spacing w:after="0"/>
        <w:tabs>
          <w:tab w:leader="none" w:pos="112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means a corporation, partnership, limited liability company or other entity.</w:t>
      </w:r>
    </w:p>
    <w:p>
      <w:pPr>
        <w:spacing w:after="0" w:line="206" w:lineRule="exact"/>
        <w:rPr>
          <w:rFonts w:ascii="Times New Roman" w:cs="Times New Roman" w:eastAsia="Times New Roman" w:hAnsi="Times New Roman"/>
          <w:sz w:val="22"/>
          <w:szCs w:val="22"/>
          <w:b w:val="1"/>
          <w:bCs w:val="1"/>
          <w:color w:val="auto"/>
        </w:rPr>
      </w:pPr>
    </w:p>
    <w:p>
      <w:pPr>
        <w:ind w:left="1120" w:hanging="476"/>
        <w:spacing w:after="0"/>
        <w:tabs>
          <w:tab w:leader="none" w:pos="1120" w:val="left"/>
        </w:tabs>
        <w:numPr>
          <w:ilvl w:val="0"/>
          <w:numId w:val="2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 and the rules and regulations promulgated</w:t>
      </w:r>
    </w:p>
    <w:p>
      <w:pPr>
        <w:spacing w:after="0" w:line="3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9" w:lineRule="exact"/>
        <w:rPr>
          <w:sz w:val="20"/>
          <w:szCs w:val="20"/>
          <w:color w:val="auto"/>
        </w:rPr>
      </w:pPr>
    </w:p>
    <w:p>
      <w:pPr>
        <w:ind w:right="40" w:firstLine="644"/>
        <w:spacing w:after="0" w:line="256" w:lineRule="auto"/>
        <w:tabs>
          <w:tab w:leader="none" w:pos="1152" w:val="left"/>
        </w:tabs>
        <w:numPr>
          <w:ilvl w:val="1"/>
          <w:numId w:val="2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 Person</w:t>
      </w:r>
      <w:r>
        <w:rPr>
          <w:rFonts w:ascii="Times New Roman" w:cs="Times New Roman" w:eastAsia="Times New Roman" w:hAnsi="Times New Roman"/>
          <w:sz w:val="21"/>
          <w:szCs w:val="21"/>
          <w:color w:val="auto"/>
        </w:rPr>
        <w:t>” means any natural person, Entity or “group” (within the meaning of Section 13(d) or 14(d) of the Exchange Act), except that “Exchange Act Person” will not include (i) the Company or any Subsidiary of the Company,</w:t>
      </w:r>
    </w:p>
    <w:p>
      <w:pPr>
        <w:ind w:right="220" w:firstLine="8"/>
        <w:spacing w:after="0" w:line="232" w:lineRule="auto"/>
        <w:tabs>
          <w:tab w:leader="none" w:pos="31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5"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the value of the Common Stock determined as follows:</w:t>
      </w:r>
    </w:p>
    <w:p>
      <w:pPr>
        <w:spacing w:after="0" w:line="104" w:lineRule="exact"/>
        <w:rPr>
          <w:rFonts w:ascii="Times New Roman" w:cs="Times New Roman" w:eastAsia="Times New Roman" w:hAnsi="Times New Roman"/>
          <w:sz w:val="22"/>
          <w:szCs w:val="22"/>
          <w:b w:val="1"/>
          <w:bCs w:val="1"/>
          <w:color w:val="auto"/>
        </w:rPr>
      </w:pPr>
    </w:p>
    <w:p>
      <w:pPr>
        <w:ind w:right="280" w:firstLine="1281"/>
        <w:spacing w:after="0" w:line="244" w:lineRule="auto"/>
        <w:tabs>
          <w:tab w:leader="none" w:pos="1801" w:val="left"/>
        </w:tabs>
        <w:numPr>
          <w:ilvl w:val="2"/>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Common Stock is listed on any established stock exchange or traded on any established market, the Fair Market Value of a share of Common Stock will be, unless otherwise determined by the Board, the closing sales price for such stock as quoted on such</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exchange or market (or the exchange or market with the greatest volume of trading in the Common Stock) on the date of determination, as reported in a source the Board deems reliable.</w:t>
      </w:r>
    </w:p>
    <w:p>
      <w:pPr>
        <w:spacing w:after="0" w:line="158" w:lineRule="exact"/>
        <w:rPr>
          <w:sz w:val="20"/>
          <w:szCs w:val="20"/>
          <w:color w:val="auto"/>
        </w:rPr>
      </w:pPr>
    </w:p>
    <w:p>
      <w:pPr>
        <w:ind w:firstLine="1281"/>
        <w:spacing w:after="0" w:line="244" w:lineRule="auto"/>
        <w:tabs>
          <w:tab w:leader="none" w:pos="1861" w:val="left"/>
        </w:tabs>
        <w:numPr>
          <w:ilvl w:val="1"/>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3" w:lineRule="exact"/>
        <w:rPr>
          <w:rFonts w:ascii="Times New Roman" w:cs="Times New Roman" w:eastAsia="Times New Roman" w:hAnsi="Times New Roman"/>
          <w:sz w:val="22"/>
          <w:szCs w:val="22"/>
          <w:b w:val="1"/>
          <w:bCs w:val="1"/>
          <w:color w:val="auto"/>
        </w:rPr>
      </w:pPr>
    </w:p>
    <w:p>
      <w:pPr>
        <w:ind w:right="300" w:firstLine="1281"/>
        <w:spacing w:after="0" w:line="258" w:lineRule="auto"/>
        <w:tabs>
          <w:tab w:leader="none" w:pos="1921" w:val="left"/>
        </w:tabs>
        <w:numPr>
          <w:ilvl w:val="1"/>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the Fair Market Value will be determined by the Board in good faith and in a manner that complies with Sections 409A and 422 of the Code.</w:t>
      </w:r>
    </w:p>
    <w:p>
      <w:pPr>
        <w:spacing w:after="0" w:line="152" w:lineRule="exact"/>
        <w:rPr>
          <w:rFonts w:ascii="Times New Roman" w:cs="Times New Roman" w:eastAsia="Times New Roman" w:hAnsi="Times New Roman"/>
          <w:sz w:val="22"/>
          <w:szCs w:val="22"/>
          <w:b w:val="1"/>
          <w:bCs w:val="1"/>
          <w:color w:val="auto"/>
        </w:rPr>
      </w:pPr>
    </w:p>
    <w:p>
      <w:pPr>
        <w:ind w:right="420" w:firstLine="644"/>
        <w:spacing w:after="0" w:line="264" w:lineRule="auto"/>
        <w:tabs>
          <w:tab w:leader="none" w:pos="1212"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means an option granted pursuant to Section 5 of the Plan that is intended to be, and qualifies as, an “incentive stock option” within the meaning of Section 422 of the Code.</w:t>
      </w:r>
    </w:p>
    <w:p>
      <w:pPr>
        <w:spacing w:after="0" w:line="145" w:lineRule="exact"/>
        <w:rPr>
          <w:rFonts w:ascii="Times New Roman" w:cs="Times New Roman" w:eastAsia="Times New Roman" w:hAnsi="Times New Roman"/>
          <w:sz w:val="22"/>
          <w:szCs w:val="22"/>
          <w:b w:val="1"/>
          <w:bCs w:val="1"/>
          <w:color w:val="auto"/>
        </w:rPr>
      </w:pPr>
    </w:p>
    <w:p>
      <w:pPr>
        <w:ind w:right="80" w:firstLine="644"/>
        <w:spacing w:after="0" w:line="288" w:lineRule="auto"/>
        <w:tabs>
          <w:tab w:leader="none" w:pos="1200" w:val="left"/>
        </w:tabs>
        <w:numPr>
          <w:ilvl w:val="0"/>
          <w:numId w:val="2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IPO Date</w:t>
      </w:r>
      <w:r>
        <w:rPr>
          <w:rFonts w:ascii="Times New Roman" w:cs="Times New Roman" w:eastAsia="Times New Roman" w:hAnsi="Times New Roman"/>
          <w:sz w:val="21"/>
          <w:szCs w:val="21"/>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22" w:lineRule="exact"/>
        <w:rPr>
          <w:sz w:val="20"/>
          <w:szCs w:val="20"/>
          <w:color w:val="auto"/>
        </w:rPr>
      </w:pPr>
    </w:p>
    <w:p>
      <w:pPr>
        <w:ind w:right="20" w:firstLine="644"/>
        <w:spacing w:after="0" w:line="237" w:lineRule="auto"/>
        <w:tabs>
          <w:tab w:leader="none" w:pos="1320"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2"/>
          <w:szCs w:val="22"/>
          <w:b w:val="1"/>
          <w:bCs w:val="1"/>
          <w:i w:val="1"/>
          <w:iCs w:val="1"/>
          <w:color w:val="auto"/>
        </w:rPr>
        <w:t>Regulation S-K</w:t>
      </w:r>
      <w:r>
        <w:rPr>
          <w:rFonts w:ascii="Times New Roman" w:cs="Times New Roman" w:eastAsia="Times New Roman" w:hAnsi="Times New Roman"/>
          <w:sz w:val="22"/>
          <w:szCs w:val="22"/>
          <w:color w:val="auto"/>
        </w:rPr>
        <w:t>”)), does not possess an interest in any other transaction for which disclosure would be required under Item 404(a) of Regulation S-K, and is not engaged in 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7" w:name="page198"/>
    <w:bookmarkEnd w:id="197"/>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relationship for which disclosure would be required pursuant to Item 404(b) of Regulation S-K; or (ii) is otherwise considered a “non-employee director” for purposes of Rule 16b-3.</w:t>
      </w:r>
    </w:p>
    <w:p>
      <w:pPr>
        <w:spacing w:after="0" w:line="152" w:lineRule="exact"/>
        <w:rPr>
          <w:sz w:val="20"/>
          <w:szCs w:val="20"/>
          <w:color w:val="auto"/>
        </w:rPr>
      </w:pPr>
    </w:p>
    <w:p>
      <w:pPr>
        <w:ind w:right="100" w:firstLine="644"/>
        <w:spacing w:after="0" w:line="264" w:lineRule="auto"/>
        <w:tabs>
          <w:tab w:leader="none" w:pos="1345"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color w:val="auto"/>
        </w:rPr>
        <w:t>” means any option granted pursuant to Section 5 of the Plan that does not qualify as an Incentive Stock Option.</w:t>
      </w:r>
    </w:p>
    <w:p>
      <w:pPr>
        <w:spacing w:after="0" w:line="145" w:lineRule="exact"/>
        <w:rPr>
          <w:rFonts w:ascii="Times New Roman" w:cs="Times New Roman" w:eastAsia="Times New Roman" w:hAnsi="Times New Roman"/>
          <w:sz w:val="22"/>
          <w:szCs w:val="22"/>
          <w:b w:val="1"/>
          <w:bCs w:val="1"/>
          <w:color w:val="auto"/>
        </w:rPr>
      </w:pPr>
    </w:p>
    <w:p>
      <w:pPr>
        <w:ind w:left="1300" w:hanging="656"/>
        <w:spacing w:after="0"/>
        <w:tabs>
          <w:tab w:leader="none" w:pos="1300"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w:t>
      </w:r>
    </w:p>
    <w:p>
      <w:pPr>
        <w:spacing w:after="0" w:line="20"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Act.</w:t>
      </w:r>
    </w:p>
    <w:p>
      <w:pPr>
        <w:spacing w:after="0" w:line="176" w:lineRule="exact"/>
        <w:rPr>
          <w:rFonts w:ascii="Times New Roman" w:cs="Times New Roman" w:eastAsia="Times New Roman" w:hAnsi="Times New Roman"/>
          <w:sz w:val="22"/>
          <w:szCs w:val="22"/>
          <w:b w:val="1"/>
          <w:bCs w:val="1"/>
          <w:color w:val="auto"/>
        </w:rPr>
      </w:pPr>
    </w:p>
    <w:p>
      <w:pPr>
        <w:ind w:right="120" w:firstLine="644"/>
        <w:spacing w:after="0" w:line="264" w:lineRule="auto"/>
        <w:tabs>
          <w:tab w:leader="none" w:pos="1345"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Incentive Stock Option or a Nonstatutory Stock Option to purchase shares of Common Stock granted pursuant to the Plan.</w:t>
      </w:r>
    </w:p>
    <w:p>
      <w:pPr>
        <w:spacing w:after="0" w:line="145" w:lineRule="exact"/>
        <w:rPr>
          <w:rFonts w:ascii="Times New Roman" w:cs="Times New Roman" w:eastAsia="Times New Roman" w:hAnsi="Times New Roman"/>
          <w:sz w:val="22"/>
          <w:szCs w:val="22"/>
          <w:b w:val="1"/>
          <w:bCs w:val="1"/>
          <w:color w:val="auto"/>
        </w:rPr>
      </w:pPr>
    </w:p>
    <w:p>
      <w:pPr>
        <w:ind w:right="60" w:firstLine="644"/>
        <w:spacing w:after="0" w:line="264" w:lineRule="auto"/>
        <w:tabs>
          <w:tab w:leader="none" w:pos="1296"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Agreement</w:t>
      </w:r>
      <w:r>
        <w:rPr>
          <w:rFonts w:ascii="Times New Roman" w:cs="Times New Roman" w:eastAsia="Times New Roman" w:hAnsi="Times New Roman"/>
          <w:sz w:val="22"/>
          <w:szCs w:val="22"/>
          <w:color w:val="auto"/>
        </w:rPr>
        <w:t>” means a written agreement between the Company and an Optionholder evidencing the terms and conditions of an Option grant. Each Option Agreement will be subject to the terms and conditions of the Plan.</w:t>
      </w:r>
    </w:p>
    <w:p>
      <w:pPr>
        <w:spacing w:after="0" w:line="145" w:lineRule="exact"/>
        <w:rPr>
          <w:rFonts w:ascii="Times New Roman" w:cs="Times New Roman" w:eastAsia="Times New Roman" w:hAnsi="Times New Roman"/>
          <w:sz w:val="22"/>
          <w:szCs w:val="22"/>
          <w:b w:val="1"/>
          <w:bCs w:val="1"/>
          <w:color w:val="auto"/>
        </w:rPr>
      </w:pPr>
    </w:p>
    <w:p>
      <w:pPr>
        <w:ind w:right="400" w:firstLine="644"/>
        <w:spacing w:after="0" w:line="264" w:lineRule="auto"/>
        <w:tabs>
          <w:tab w:leader="none" w:pos="1248"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Optionholder</w:t>
      </w:r>
      <w:r>
        <w:rPr>
          <w:rFonts w:ascii="Times New Roman" w:cs="Times New Roman" w:eastAsia="Times New Roman" w:hAnsi="Times New Roman"/>
          <w:sz w:val="22"/>
          <w:szCs w:val="22"/>
          <w:color w:val="auto"/>
        </w:rPr>
        <w:t>” means a person to whom an Option is granted pursuant to the Plan or, if applicable, such other person who holds an outstanding Option.</w:t>
      </w:r>
    </w:p>
    <w:p>
      <w:pPr>
        <w:spacing w:after="0" w:line="145" w:lineRule="exact"/>
        <w:rPr>
          <w:rFonts w:ascii="Times New Roman" w:cs="Times New Roman" w:eastAsia="Times New Roman" w:hAnsi="Times New Roman"/>
          <w:sz w:val="22"/>
          <w:szCs w:val="22"/>
          <w:b w:val="1"/>
          <w:bCs w:val="1"/>
          <w:color w:val="auto"/>
        </w:rPr>
      </w:pPr>
    </w:p>
    <w:p>
      <w:pPr>
        <w:ind w:right="520" w:firstLine="644"/>
        <w:spacing w:after="0" w:line="264" w:lineRule="auto"/>
        <w:tabs>
          <w:tab w:leader="none" w:pos="1320"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 Award</w:t>
      </w:r>
      <w:r>
        <w:rPr>
          <w:rFonts w:ascii="Times New Roman" w:cs="Times New Roman" w:eastAsia="Times New Roman" w:hAnsi="Times New Roman"/>
          <w:sz w:val="22"/>
          <w:szCs w:val="22"/>
          <w:color w:val="auto"/>
        </w:rPr>
        <w:t>” means an award based in whole or in part by reference to the Common Stock which is granted pursuant to the terms and conditions of Section 6(d).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0"/>
          <w:szCs w:val="20"/>
          <w:color w:val="auto"/>
        </w:rPr>
      </w:pPr>
    </w:p>
    <w:p>
      <w:pPr>
        <w:ind w:firstLine="644"/>
        <w:spacing w:after="0" w:line="247" w:lineRule="auto"/>
        <w:tabs>
          <w:tab w:leader="none" w:pos="1237" w:val="left"/>
        </w:tabs>
        <w:numPr>
          <w:ilvl w:val="0"/>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 Award Agreement</w:t>
      </w:r>
      <w:r>
        <w:rPr>
          <w:rFonts w:ascii="Times New Roman" w:cs="Times New Roman" w:eastAsia="Times New Roman" w:hAnsi="Times New Roman"/>
          <w:sz w:val="22"/>
          <w:szCs w:val="22"/>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ind w:right="120" w:firstLine="644"/>
        <w:spacing w:after="0" w:line="250" w:lineRule="auto"/>
        <w:tabs>
          <w:tab w:leader="none" w:pos="1224" w:val="left"/>
        </w:tabs>
        <w:numPr>
          <w:ilvl w:val="0"/>
          <w:numId w:val="2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Outside Director</w:t>
      </w:r>
      <w:r>
        <w:rPr>
          <w:rFonts w:ascii="Times New Roman" w:cs="Times New Roman" w:eastAsia="Times New Roman" w:hAnsi="Times New Roman"/>
          <w:sz w:val="21"/>
          <w:szCs w:val="21"/>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64" w:lineRule="exact"/>
        <w:rPr>
          <w:rFonts w:ascii="Times New Roman" w:cs="Times New Roman" w:eastAsia="Times New Roman" w:hAnsi="Times New Roman"/>
          <w:sz w:val="21"/>
          <w:szCs w:val="21"/>
          <w:b w:val="1"/>
          <w:bCs w:val="1"/>
          <w:color w:val="auto"/>
        </w:rPr>
      </w:pPr>
    </w:p>
    <w:p>
      <w:pPr>
        <w:ind w:right="140" w:firstLine="644"/>
        <w:spacing w:after="0" w:line="241" w:lineRule="auto"/>
        <w:tabs>
          <w:tab w:leader="none" w:pos="1248" w:val="left"/>
        </w:tabs>
        <w:numPr>
          <w:ilvl w:val="0"/>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Ownership</w:t>
      </w:r>
      <w:r>
        <w:rPr>
          <w:rFonts w:ascii="Times New Roman" w:cs="Times New Roman" w:eastAsia="Times New Roman" w:hAnsi="Times New Roman"/>
          <w:sz w:val="22"/>
          <w:szCs w:val="22"/>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1" w:lineRule="exact"/>
        <w:rPr>
          <w:rFonts w:ascii="Times New Roman" w:cs="Times New Roman" w:eastAsia="Times New Roman" w:hAnsi="Times New Roman"/>
          <w:sz w:val="22"/>
          <w:szCs w:val="22"/>
          <w:b w:val="1"/>
          <w:bCs w:val="1"/>
          <w:color w:val="auto"/>
        </w:rPr>
      </w:pPr>
    </w:p>
    <w:p>
      <w:pPr>
        <w:jc w:val="both"/>
        <w:ind w:right="200" w:firstLine="644"/>
        <w:spacing w:after="0" w:line="247" w:lineRule="auto"/>
        <w:tabs>
          <w:tab w:leader="none" w:pos="1237" w:val="left"/>
        </w:tabs>
        <w:numPr>
          <w:ilvl w:val="0"/>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8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of the other corporations in such chain. A corporation that attains the status of a Parent on a date after the adoption of the Plan shall be considered a Parent commencing as of such date.</w:t>
      </w:r>
    </w:p>
    <w:p>
      <w:pPr>
        <w:spacing w:after="0" w:line="152" w:lineRule="exact"/>
        <w:rPr>
          <w:sz w:val="20"/>
          <w:szCs w:val="20"/>
          <w:color w:val="auto"/>
        </w:rPr>
      </w:pPr>
    </w:p>
    <w:p>
      <w:pPr>
        <w:ind w:right="600" w:firstLine="644"/>
        <w:spacing w:after="0" w:line="264" w:lineRule="auto"/>
        <w:tabs>
          <w:tab w:leader="none" w:pos="1224" w:val="left"/>
        </w:tabs>
        <w:numPr>
          <w:ilvl w:val="0"/>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 person to whom an Award is granted pursuant to the Plan or, if applicable, such other person who holds an outstanding Stock Award.</w:t>
      </w:r>
    </w:p>
    <w:p>
      <w:pPr>
        <w:spacing w:after="0" w:line="145" w:lineRule="exact"/>
        <w:rPr>
          <w:rFonts w:ascii="Times New Roman" w:cs="Times New Roman" w:eastAsia="Times New Roman" w:hAnsi="Times New Roman"/>
          <w:sz w:val="22"/>
          <w:szCs w:val="22"/>
          <w:b w:val="1"/>
          <w:bCs w:val="1"/>
          <w:color w:val="auto"/>
        </w:rPr>
      </w:pPr>
    </w:p>
    <w:p>
      <w:pPr>
        <w:ind w:left="1260" w:hanging="616"/>
        <w:spacing w:after="0"/>
        <w:tabs>
          <w:tab w:leader="none" w:pos="1260" w:val="left"/>
        </w:tabs>
        <w:numPr>
          <w:ilvl w:val="0"/>
          <w:numId w:val="2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Cash Award</w:t>
      </w:r>
      <w:r>
        <w:rPr>
          <w:rFonts w:ascii="Times New Roman" w:cs="Times New Roman" w:eastAsia="Times New Roman" w:hAnsi="Times New Roman"/>
          <w:sz w:val="21"/>
          <w:szCs w:val="21"/>
          <w:color w:val="auto"/>
        </w:rPr>
        <w:t>” means an award of cash granted pursuant to the terms and conditions of Section 6(c)</w:t>
      </w:r>
    </w:p>
    <w:p>
      <w:pPr>
        <w:spacing w:after="0" w:line="3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(ii).</w:t>
      </w:r>
    </w:p>
    <w:p>
      <w:pPr>
        <w:spacing w:after="0" w:line="176" w:lineRule="exact"/>
        <w:rPr>
          <w:rFonts w:ascii="Times New Roman" w:cs="Times New Roman" w:eastAsia="Times New Roman" w:hAnsi="Times New Roman"/>
          <w:sz w:val="21"/>
          <w:szCs w:val="21"/>
          <w:b w:val="1"/>
          <w:bCs w:val="1"/>
          <w:color w:val="auto"/>
        </w:rPr>
      </w:pPr>
    </w:p>
    <w:p>
      <w:pPr>
        <w:ind w:firstLine="644"/>
        <w:spacing w:after="0" w:line="234" w:lineRule="auto"/>
        <w:tabs>
          <w:tab w:leader="none" w:pos="1237" w:val="left"/>
        </w:tabs>
        <w:numPr>
          <w:ilvl w:val="0"/>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Criteria</w:t>
      </w:r>
      <w:r>
        <w:rPr>
          <w:rFonts w:ascii="Times New Roman" w:cs="Times New Roman" w:eastAsia="Times New Roman" w:hAnsi="Times New Roman"/>
          <w:sz w:val="22"/>
          <w:szCs w:val="22"/>
          <w:color w:val="auto"/>
        </w:rPr>
        <w:t>” means the one or more criteria that the Committee (which to the extent that an Award is intended to comply with Section 162(m) of the Code shall consist solely of two or more Outside Directors in accordance with Section 162(m) of the Code) will select for purposes of establishing the Performance Goals for a Performance Period. The Performance Criteria that will be used to establish such Performance Goals may be based on any one of, or combination of, the following as determined by the Committee (which to the extent that an Award is intended to comply with Section 162(m) of the Code shall consist solely of two or more Outside Directors in accordance with Section 162(m) of the Code):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jc w:val="both"/>
        <w:ind w:right="440"/>
        <w:spacing w:after="0" w:line="253" w:lineRule="auto"/>
        <w:rPr>
          <w:sz w:val="20"/>
          <w:szCs w:val="20"/>
          <w:color w:val="auto"/>
        </w:rPr>
      </w:pPr>
      <w:r>
        <w:rPr>
          <w:rFonts w:ascii="Times New Roman" w:cs="Times New Roman" w:eastAsia="Times New Roman" w:hAnsi="Times New Roman"/>
          <w:sz w:val="21"/>
          <w:szCs w:val="21"/>
          <w:color w:val="auto"/>
        </w:rPr>
        <w:t>in deferred revenue; (viii) total stockholder return; (ix) return on equity or average stockholder’s equity; (x) return on assets, investment, or capital employed; (xi) stock price; (xii) margin (including gross margin); (xiii) income (before or after taxes);</w:t>
      </w:r>
    </w:p>
    <w:p>
      <w:pPr>
        <w:spacing w:after="0" w:line="1" w:lineRule="exact"/>
        <w:rPr>
          <w:sz w:val="20"/>
          <w:szCs w:val="20"/>
          <w:color w:val="auto"/>
        </w:rPr>
      </w:pPr>
    </w:p>
    <w:p>
      <w:pPr>
        <w:ind w:firstLine="8"/>
        <w:spacing w:after="0" w:line="232" w:lineRule="auto"/>
        <w:tabs>
          <w:tab w:leader="none" w:pos="474"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 (xv) operating income after taxes; (xvi) pre-tax profit; (xvii) operating cash flow; (xviii) sales or revenue targets; (xix) increases in revenue or product revenue; (xx) expenses and cost reduction goals; (xxi) improvement in or attainment of working capital levels; (xxii) economic value added (or an equivalent metric); (xxiii) market share; (xxiv) cash flow; (xxv) cash flow per share; (xxvi) share price performance; (xxvii) debt reduction; (xxviii) implementation or completion of projects or processes; (xxix) employee retention; (xxx) stockholders’ equity; (xxxi) capital expenditures; (xxxii) debt levels; (xxxiii) operating profit or net operating profit; (xxxiv) workforce diversity; (xxxv) growth of net income or operating income; (xxxvi) billings; (xxxvii) bookings; (xxxviii) initiation or completion of phases of clinical trials and/or studies by specified dates; (xxxix) patient enrollment rates, (xxxx) budget management; (xxxxi) regulatory body approval with respect to products, studies and/or trials; (xxxxii) commercial launch of products; and (xxxxiii) to the extent that an Award is not intended to comply with Section 162(m) of the Code, other measures of performance selected by the Board.</w:t>
      </w:r>
    </w:p>
    <w:p>
      <w:pPr>
        <w:spacing w:after="0" w:line="170" w:lineRule="exact"/>
        <w:rPr>
          <w:rFonts w:ascii="Times New Roman" w:cs="Times New Roman" w:eastAsia="Times New Roman" w:hAnsi="Times New Roman"/>
          <w:sz w:val="22"/>
          <w:szCs w:val="22"/>
          <w:color w:val="auto"/>
        </w:rPr>
      </w:pPr>
    </w:p>
    <w:p>
      <w:pPr>
        <w:ind w:right="280" w:firstLine="644"/>
        <w:spacing w:after="0" w:line="247" w:lineRule="auto"/>
        <w:tabs>
          <w:tab w:leader="none" w:pos="1320" w:val="left"/>
        </w:tabs>
        <w:numPr>
          <w:ilvl w:val="1"/>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means, for a Performance Period, the one or more goals established by the Board for the Performance Period based upon the Performance Criteria. Performance Goals may be based on a Company-wide basis, with respect to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185"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1"/>
          <w:szCs w:val="21"/>
          <w:color w:val="auto"/>
        </w:rPr>
        <w:t>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w:t>
      </w:r>
    </w:p>
    <w:p>
      <w:pPr>
        <w:spacing w:after="0" w:line="3" w:lineRule="exact"/>
        <w:rPr>
          <w:sz w:val="20"/>
          <w:szCs w:val="20"/>
          <w:color w:val="auto"/>
        </w:rPr>
      </w:pPr>
    </w:p>
    <w:p>
      <w:pPr>
        <w:ind w:right="20" w:firstLine="8"/>
        <w:spacing w:after="0" w:line="231" w:lineRule="auto"/>
        <w:tabs>
          <w:tab w:leader="none" w:pos="30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(12) to exclude the effect of any other unusual, non-recurring gain or loss or other extraordinary item; (13) to exclude the effects of the timing of acceptance for review and/or approval of submissions to the Food and Drug Administration or any other regulatory body and (14) to exclude the effects of entering into or achieving milestones involved in licensing joint ventures. In addition, the Board retains the discretion to reduce or eliminate the compensation or economic benefit due upon attainment of Performance Goals and to define the manner 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67" w:lineRule="exact"/>
        <w:rPr>
          <w:sz w:val="20"/>
          <w:szCs w:val="20"/>
          <w:color w:val="auto"/>
        </w:rPr>
      </w:pPr>
    </w:p>
    <w:p>
      <w:pPr>
        <w:jc w:val="both"/>
        <w:ind w:firstLine="644"/>
        <w:spacing w:after="0" w:line="264" w:lineRule="auto"/>
        <w:tabs>
          <w:tab w:leader="none" w:pos="1345" w:val="left"/>
        </w:tabs>
        <w:numPr>
          <w:ilvl w:val="0"/>
          <w:numId w:val="2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color w:val="auto"/>
        </w:rPr>
        <w:t>” 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148" w:lineRule="exact"/>
        <w:rPr>
          <w:rFonts w:ascii="Times New Roman" w:cs="Times New Roman" w:eastAsia="Times New Roman" w:hAnsi="Times New Roman"/>
          <w:sz w:val="21"/>
          <w:szCs w:val="21"/>
          <w:b w:val="1"/>
          <w:bCs w:val="1"/>
          <w:color w:val="auto"/>
        </w:rPr>
      </w:pPr>
    </w:p>
    <w:p>
      <w:pPr>
        <w:ind w:left="1360" w:hanging="716"/>
        <w:spacing w:after="0"/>
        <w:tabs>
          <w:tab w:leader="none" w:pos="1360"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Stock Award</w:t>
      </w:r>
      <w:r>
        <w:rPr>
          <w:rFonts w:ascii="Times New Roman" w:cs="Times New Roman" w:eastAsia="Times New Roman" w:hAnsi="Times New Roman"/>
          <w:sz w:val="22"/>
          <w:szCs w:val="22"/>
          <w:color w:val="auto"/>
        </w:rPr>
        <w:t>” means a Stock Award granted under the terms and conditions of Section 6(c)(i).</w:t>
      </w:r>
    </w:p>
    <w:p>
      <w:pPr>
        <w:spacing w:after="0" w:line="206" w:lineRule="exact"/>
        <w:rPr>
          <w:rFonts w:ascii="Times New Roman" w:cs="Times New Roman" w:eastAsia="Times New Roman" w:hAnsi="Times New Roman"/>
          <w:sz w:val="22"/>
          <w:szCs w:val="22"/>
          <w:b w:val="1"/>
          <w:bCs w:val="1"/>
          <w:color w:val="auto"/>
        </w:rPr>
      </w:pPr>
    </w:p>
    <w:p>
      <w:pPr>
        <w:ind w:left="1300" w:hanging="656"/>
        <w:spacing w:after="0"/>
        <w:tabs>
          <w:tab w:leader="none" w:pos="1300"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Kyntra Bio, Inc.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79" w:lineRule="exact"/>
        <w:rPr>
          <w:sz w:val="20"/>
          <w:szCs w:val="20"/>
          <w:color w:val="auto"/>
        </w:rPr>
      </w:pPr>
    </w:p>
    <w:p>
      <w:pPr>
        <w:ind w:right="60" w:firstLine="644"/>
        <w:spacing w:after="0" w:line="264" w:lineRule="auto"/>
        <w:tabs>
          <w:tab w:leader="none" w:pos="1272"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means an award of shares of Common Stock which is granted pursuant to the terms and conditions of Section 6(a).</w:t>
      </w:r>
    </w:p>
    <w:p>
      <w:pPr>
        <w:spacing w:after="0" w:line="145" w:lineRule="exact"/>
        <w:rPr>
          <w:rFonts w:ascii="Times New Roman" w:cs="Times New Roman" w:eastAsia="Times New Roman" w:hAnsi="Times New Roman"/>
          <w:sz w:val="22"/>
          <w:szCs w:val="22"/>
          <w:b w:val="1"/>
          <w:bCs w:val="1"/>
          <w:color w:val="auto"/>
        </w:rPr>
      </w:pPr>
    </w:p>
    <w:p>
      <w:pPr>
        <w:ind w:right="340" w:firstLine="644"/>
        <w:spacing w:after="0" w:line="247" w:lineRule="auto"/>
        <w:tabs>
          <w:tab w:leader="none" w:pos="1248"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ind w:firstLine="644"/>
        <w:spacing w:after="0" w:line="264" w:lineRule="auto"/>
        <w:tabs>
          <w:tab w:leader="none" w:pos="1345"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w:t>
      </w:r>
      <w:r>
        <w:rPr>
          <w:rFonts w:ascii="Times New Roman" w:cs="Times New Roman" w:eastAsia="Times New Roman" w:hAnsi="Times New Roman"/>
          <w:sz w:val="22"/>
          <w:szCs w:val="22"/>
          <w:color w:val="auto"/>
        </w:rPr>
        <w:t>” means a right to receive shares of Common Stock which is granted pursuant to the terms and conditions of Section 6(b).</w:t>
      </w:r>
    </w:p>
    <w:p>
      <w:pPr>
        <w:spacing w:after="0" w:line="145" w:lineRule="exact"/>
        <w:rPr>
          <w:rFonts w:ascii="Times New Roman" w:cs="Times New Roman" w:eastAsia="Times New Roman" w:hAnsi="Times New Roman"/>
          <w:sz w:val="22"/>
          <w:szCs w:val="22"/>
          <w:b w:val="1"/>
          <w:bCs w:val="1"/>
          <w:color w:val="auto"/>
        </w:rPr>
      </w:pPr>
    </w:p>
    <w:p>
      <w:pPr>
        <w:ind w:right="100" w:firstLine="644"/>
        <w:spacing w:after="0" w:line="247" w:lineRule="auto"/>
        <w:tabs>
          <w:tab w:leader="none" w:pos="1320"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 Agreement</w:t>
      </w:r>
      <w:r>
        <w:rPr>
          <w:rFonts w:ascii="Times New Roman" w:cs="Times New Roman" w:eastAsia="Times New Roman" w:hAnsi="Times New Roman"/>
          <w:sz w:val="22"/>
          <w:szCs w:val="22"/>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ind w:right="500" w:firstLine="644"/>
        <w:spacing w:after="0" w:line="264" w:lineRule="auto"/>
        <w:tabs>
          <w:tab w:leader="none" w:pos="1416"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16b-3</w:t>
      </w:r>
      <w:r>
        <w:rPr>
          <w:rFonts w:ascii="Times New Roman" w:cs="Times New Roman" w:eastAsia="Times New Roman" w:hAnsi="Times New Roman"/>
          <w:sz w:val="22"/>
          <w:szCs w:val="22"/>
          <w:color w:val="auto"/>
        </w:rPr>
        <w:t>” means Rule 16b-3 promulgated under the Exchange Act or any successor to Rule 16b-3, as in effect from time to time.</w:t>
      </w:r>
    </w:p>
    <w:p>
      <w:pPr>
        <w:spacing w:after="0" w:line="145" w:lineRule="exact"/>
        <w:rPr>
          <w:rFonts w:ascii="Times New Roman" w:cs="Times New Roman" w:eastAsia="Times New Roman" w:hAnsi="Times New Roman"/>
          <w:sz w:val="22"/>
          <w:szCs w:val="22"/>
          <w:b w:val="1"/>
          <w:bCs w:val="1"/>
          <w:color w:val="auto"/>
        </w:rPr>
      </w:pPr>
    </w:p>
    <w:p>
      <w:pPr>
        <w:ind w:left="1320" w:hanging="676"/>
        <w:spacing w:after="0"/>
        <w:tabs>
          <w:tab w:leader="none" w:pos="1320"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b w:val="1"/>
          <w:bCs w:val="1"/>
          <w:color w:val="auto"/>
        </w:rPr>
      </w:pPr>
    </w:p>
    <w:p>
      <w:pPr>
        <w:ind w:right="80" w:firstLine="644"/>
        <w:spacing w:after="0" w:line="264" w:lineRule="auto"/>
        <w:tabs>
          <w:tab w:leader="none" w:pos="1320"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color w:val="auto"/>
        </w:rPr>
        <w:t>” means a right to receive the appreciation on Common Stock that is granted pursuant to the terms and conditions of Section 5.</w:t>
      </w:r>
    </w:p>
    <w:p>
      <w:pPr>
        <w:spacing w:after="0" w:line="145" w:lineRule="exact"/>
        <w:rPr>
          <w:rFonts w:ascii="Times New Roman" w:cs="Times New Roman" w:eastAsia="Times New Roman" w:hAnsi="Times New Roman"/>
          <w:sz w:val="22"/>
          <w:szCs w:val="22"/>
          <w:b w:val="1"/>
          <w:bCs w:val="1"/>
          <w:color w:val="auto"/>
        </w:rPr>
      </w:pPr>
    </w:p>
    <w:p>
      <w:pPr>
        <w:ind w:right="60" w:firstLine="644"/>
        <w:spacing w:after="0" w:line="247" w:lineRule="auto"/>
        <w:tabs>
          <w:tab w:leader="none" w:pos="1296"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 Agreement</w:t>
      </w:r>
      <w:r>
        <w:rPr>
          <w:rFonts w:ascii="Times New Roman" w:cs="Times New Roman" w:eastAsia="Times New Roman" w:hAnsi="Times New Roman"/>
          <w:sz w:val="22"/>
          <w:szCs w:val="22"/>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64" w:lineRule="exact"/>
        <w:rPr>
          <w:sz w:val="20"/>
          <w:szCs w:val="20"/>
          <w:color w:val="auto"/>
        </w:rPr>
      </w:pPr>
    </w:p>
    <w:p>
      <w:pPr>
        <w:ind w:right="260" w:firstLine="644"/>
        <w:spacing w:after="0" w:line="264" w:lineRule="auto"/>
        <w:tabs>
          <w:tab w:leader="none" w:pos="132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w:t>
      </w:r>
      <w:r>
        <w:rPr>
          <w:rFonts w:ascii="Times New Roman" w:cs="Times New Roman" w:eastAsia="Times New Roman" w:hAnsi="Times New Roman"/>
          <w:sz w:val="22"/>
          <w:szCs w:val="22"/>
          <w:color w:val="auto"/>
        </w:rPr>
        <w:t>” means any right to receive Common Stock granted under the Plan, including an Incentive Stock Option, a Nonstatutory Stock Option, a Restricted Stock Award, a</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Stock Unit Award, a Stock Appreciation Right, a Performance Stock Award or any Other Stock Award.</w:t>
      </w:r>
    </w:p>
    <w:p>
      <w:pPr>
        <w:spacing w:after="0" w:line="200" w:lineRule="exact"/>
        <w:rPr>
          <w:sz w:val="20"/>
          <w:szCs w:val="20"/>
          <w:color w:val="auto"/>
        </w:rPr>
      </w:pPr>
    </w:p>
    <w:p>
      <w:pPr>
        <w:ind w:right="360" w:firstLine="644"/>
        <w:spacing w:after="0" w:line="247" w:lineRule="auto"/>
        <w:tabs>
          <w:tab w:leader="none" w:pos="1249"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 Agreement</w:t>
      </w:r>
      <w:r>
        <w:rPr>
          <w:rFonts w:ascii="Times New Roman" w:cs="Times New Roman" w:eastAsia="Times New Roman" w:hAnsi="Times New Roman"/>
          <w:sz w:val="22"/>
          <w:szCs w:val="22"/>
          <w:color w:val="auto"/>
        </w:rPr>
        <w:t>” means a written agreement between the Company and a Participant evidencing the terms and conditions of a Stock Award grant. Each Stock Award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ind w:right="20" w:firstLine="644"/>
        <w:spacing w:after="0" w:line="239" w:lineRule="auto"/>
        <w:tabs>
          <w:tab w:leader="none" w:pos="1176"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indirect interest (whether in the form of voting or participation in profits or capital contribution) of more than 50%.</w:t>
      </w:r>
    </w:p>
    <w:p>
      <w:pPr>
        <w:spacing w:after="0" w:line="200" w:lineRule="exact"/>
        <w:rPr>
          <w:sz w:val="20"/>
          <w:szCs w:val="20"/>
          <w:color w:val="auto"/>
        </w:rPr>
      </w:pPr>
    </w:p>
    <w:p>
      <w:pPr>
        <w:ind w:right="240" w:firstLine="644"/>
        <w:spacing w:after="0" w:line="247" w:lineRule="auto"/>
        <w:tabs>
          <w:tab w:leader="none" w:pos="1249"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Ten Percent Stockholder</w:t>
      </w:r>
      <w:r>
        <w:rPr>
          <w:rFonts w:ascii="Times New Roman" w:cs="Times New Roman" w:eastAsia="Times New Roman" w:hAnsi="Times New Roman"/>
          <w:sz w:val="22"/>
          <w:szCs w:val="22"/>
          <w:color w:val="auto"/>
        </w:rPr>
        <w:t>” means a person who Owns (or is deemed to Own pursuant to Section 424(d) of the Code) stock possessing more than ten percent of the total combined voting power of all classes of stock of the Company or any Affiliate.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Standard Form</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PTION</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7"/>
          <w:szCs w:val="17"/>
          <w:b w:val="1"/>
          <w:bCs w:val="1"/>
          <w:color w:val="auto"/>
        </w:rPr>
        <w:t>RANT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OTICE</w:t>
      </w:r>
    </w:p>
    <w:p>
      <w:pPr>
        <w:ind w:left="4120"/>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w:t>
      </w:r>
    </w:p>
    <w:p>
      <w:pPr>
        <w:spacing w:after="0" w:line="17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its 2014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hereby grants to 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200" w:lineRule="exact"/>
        <w:rPr>
          <w:sz w:val="20"/>
          <w:szCs w:val="20"/>
          <w:color w:val="auto"/>
        </w:rPr>
      </w:pPr>
    </w:p>
    <w:p>
      <w:pPr>
        <w:spacing w:after="0" w:line="2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2540</wp:posOffset>
            </wp:positionV>
            <wp:extent cx="299148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99148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6">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920"/>
        <w:spacing w:after="0" w:line="230" w:lineRule="auto"/>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-5080</wp:posOffset>
            </wp:positionV>
            <wp:extent cx="299148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7">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920"/>
        <w:spacing w:after="0" w:line="231" w:lineRule="auto"/>
        <w:rPr>
          <w:sz w:val="20"/>
          <w:szCs w:val="20"/>
          <w:color w:val="auto"/>
        </w:rPr>
      </w:pPr>
      <w:r>
        <w:rPr>
          <w:rFonts w:ascii="Times New Roman" w:cs="Times New Roman" w:eastAsia="Times New Roman" w:hAnsi="Times New Roman"/>
          <w:sz w:val="22"/>
          <w:szCs w:val="22"/>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99148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920"/>
        <w:spacing w:after="0" w:line="230" w:lineRule="auto"/>
        <w:rPr>
          <w:sz w:val="20"/>
          <w:szCs w:val="20"/>
          <w:color w:val="auto"/>
        </w:rPr>
      </w:pPr>
      <w:r>
        <w:rPr>
          <w:rFonts w:ascii="Times New Roman" w:cs="Times New Roman" w:eastAsia="Times New Roman" w:hAnsi="Times New Roman"/>
          <w:sz w:val="22"/>
          <w:szCs w:val="22"/>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-5080</wp:posOffset>
            </wp:positionV>
            <wp:extent cx="299148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920"/>
        <w:spacing w:after="0" w:line="231" w:lineRule="auto"/>
        <w:rPr>
          <w:sz w:val="20"/>
          <w:szCs w:val="20"/>
          <w:color w:val="auto"/>
        </w:rPr>
      </w:pPr>
      <w:r>
        <w:rPr>
          <w:rFonts w:ascii="Times New Roman" w:cs="Times New Roman" w:eastAsia="Times New Roman" w:hAnsi="Times New Roman"/>
          <w:sz w:val="22"/>
          <w:szCs w:val="22"/>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99148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-12065</wp:posOffset>
            </wp:positionV>
            <wp:extent cx="299148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81"/>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Type of Grant:</w:t>
            </w:r>
          </w:p>
        </w:tc>
        <w:tc>
          <w:tcPr>
            <w:tcW w:w="3920" w:type="dxa"/>
            <w:vAlign w:val="bottom"/>
          </w:tcPr>
          <w:p>
            <w:pPr>
              <w:ind w:left="460"/>
              <w:spacing w:after="0" w:line="276"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Incentive Stock Option</w:t>
            </w:r>
            <w:r>
              <w:rPr>
                <w:rFonts w:ascii="Times New Roman" w:cs="Times New Roman" w:eastAsia="Times New Roman" w:hAnsi="Times New Roman"/>
                <w:sz w:val="24"/>
                <w:szCs w:val="24"/>
                <w:color w:val="auto"/>
                <w:vertAlign w:val="superscript"/>
              </w:rPr>
              <w:t>1</w:t>
            </w:r>
          </w:p>
        </w:tc>
        <w:tc>
          <w:tcPr>
            <w:tcW w:w="5120" w:type="dxa"/>
            <w:vAlign w:val="bottom"/>
          </w:tcPr>
          <w:p>
            <w:pPr>
              <w:ind w:left="9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Nonstatutory Stock Option</w:t>
            </w:r>
          </w:p>
        </w:tc>
      </w:tr>
      <w:tr>
        <w:trPr>
          <w:trHeight w:val="481"/>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Exercise Schedule:</w:t>
            </w:r>
          </w:p>
        </w:tc>
        <w:tc>
          <w:tcPr>
            <w:tcW w:w="3920" w:type="dxa"/>
            <w:vAlign w:val="bottom"/>
          </w:tcPr>
          <w:p>
            <w:pPr>
              <w:ind w:left="46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Same as Vesting Schedule</w:t>
            </w:r>
          </w:p>
        </w:tc>
        <w:tc>
          <w:tcPr>
            <w:tcW w:w="5120" w:type="dxa"/>
            <w:vAlign w:val="bottom"/>
          </w:tcPr>
          <w:p>
            <w:pPr>
              <w:ind w:left="9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Early Exercise Permitted</w:t>
            </w:r>
          </w:p>
        </w:tc>
      </w:tr>
      <w:tr>
        <w:trPr>
          <w:trHeight w:val="415"/>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 Schedule:</w:t>
            </w:r>
          </w:p>
        </w:tc>
        <w:tc>
          <w:tcPr>
            <w:tcW w:w="90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9"/>
              </w:rPr>
              <w:t xml:space="preserve">[One-fourth </w:t>
            </w:r>
            <w:r>
              <w:rPr>
                <w:rFonts w:ascii="Times New Roman" w:cs="Times New Roman" w:eastAsia="Times New Roman" w:hAnsi="Times New Roman"/>
                <w:sz w:val="22"/>
                <w:szCs w:val="22"/>
                <w:b w:val="1"/>
                <w:bCs w:val="1"/>
                <w:color w:val="auto"/>
                <w:w w:val="99"/>
              </w:rPr>
              <w:t>(</w:t>
            </w:r>
            <w:r>
              <w:rPr>
                <w:rFonts w:ascii="Times New Roman" w:cs="Times New Roman" w:eastAsia="Times New Roman" w:hAnsi="Times New Roman"/>
                <w:sz w:val="22"/>
                <w:szCs w:val="22"/>
                <w:color w:val="auto"/>
                <w:w w:val="99"/>
              </w:rPr>
              <w:t>1/4</w:t>
            </w:r>
            <w:r>
              <w:rPr>
                <w:rFonts w:ascii="Times New Roman" w:cs="Times New Roman" w:eastAsia="Times New Roman" w:hAnsi="Times New Roman"/>
                <w:sz w:val="24"/>
                <w:szCs w:val="24"/>
                <w:color w:val="auto"/>
                <w:w w:val="99"/>
                <w:vertAlign w:val="superscript"/>
              </w:rPr>
              <w:t>th</w:t>
            </w:r>
            <w:r>
              <w:rPr>
                <w:rFonts w:ascii="Times New Roman" w:cs="Times New Roman" w:eastAsia="Times New Roman" w:hAnsi="Times New Roman"/>
                <w:sz w:val="22"/>
                <w:szCs w:val="22"/>
                <w:color w:val="auto"/>
                <w:w w:val="99"/>
              </w:rPr>
              <w:t>) of the shares vest one year after the Vesting Commencement Date; the balance</w:t>
            </w:r>
          </w:p>
        </w:tc>
      </w:tr>
      <w:tr>
        <w:trPr>
          <w:trHeight w:val="243"/>
        </w:trPr>
        <w:tc>
          <w:tcPr>
            <w:tcW w:w="2200" w:type="dxa"/>
            <w:vAlign w:val="bottom"/>
          </w:tcPr>
          <w:p>
            <w:pPr>
              <w:spacing w:after="0"/>
              <w:rPr>
                <w:sz w:val="21"/>
                <w:szCs w:val="21"/>
                <w:color w:val="auto"/>
              </w:rPr>
            </w:pPr>
          </w:p>
        </w:tc>
        <w:tc>
          <w:tcPr>
            <w:tcW w:w="904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of the shares vest in a series of twelve (12) successive substantially equal quarterly installments</w:t>
            </w:r>
          </w:p>
        </w:tc>
      </w:tr>
      <w:tr>
        <w:trPr>
          <w:trHeight w:val="243"/>
        </w:trPr>
        <w:tc>
          <w:tcPr>
            <w:tcW w:w="2200" w:type="dxa"/>
            <w:vAlign w:val="bottom"/>
          </w:tcPr>
          <w:p>
            <w:pPr>
              <w:spacing w:after="0"/>
              <w:rPr>
                <w:sz w:val="21"/>
                <w:szCs w:val="21"/>
                <w:color w:val="auto"/>
              </w:rPr>
            </w:pPr>
          </w:p>
        </w:tc>
        <w:tc>
          <w:tcPr>
            <w:tcW w:w="904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measured from the first anniversary of the Vesting Commencement Date, subject to</w:t>
            </w:r>
          </w:p>
        </w:tc>
      </w:tr>
      <w:tr>
        <w:trPr>
          <w:trHeight w:val="282"/>
        </w:trPr>
        <w:tc>
          <w:tcPr>
            <w:tcW w:w="2200" w:type="dxa"/>
            <w:vAlign w:val="bottom"/>
          </w:tcPr>
          <w:p>
            <w:pPr>
              <w:spacing w:after="0"/>
              <w:rPr>
                <w:sz w:val="24"/>
                <w:szCs w:val="24"/>
                <w:color w:val="auto"/>
              </w:rPr>
            </w:pPr>
          </w:p>
        </w:tc>
        <w:tc>
          <w:tcPr>
            <w:tcW w:w="90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Optionholder’s Continuous Service as of each such vesting date.]</w:t>
            </w:r>
          </w:p>
        </w:tc>
      </w:tr>
      <w:tr>
        <w:trPr>
          <w:trHeight w:val="1642"/>
        </w:trPr>
        <w:tc>
          <w:tcPr>
            <w:tcW w:w="2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color w:val="auto"/>
        </w:rPr>
        <w:t>By one or a combination of the following items (described in the Option Agreement):</w:t>
      </w:r>
    </w:p>
    <w:p>
      <w:pPr>
        <w:spacing w:after="0" w:line="237" w:lineRule="exact"/>
        <w:rPr>
          <w:sz w:val="20"/>
          <w:szCs w:val="20"/>
          <w:color w:val="auto"/>
        </w:rPr>
      </w:pPr>
    </w:p>
    <w:p>
      <w:pPr>
        <w:jc w:val="both"/>
        <w:ind w:left="2660" w:right="2360"/>
        <w:spacing w:after="0" w:line="251" w:lineRule="auto"/>
        <w:rPr>
          <w:sz w:val="20"/>
          <w:szCs w:val="20"/>
          <w:color w:val="auto"/>
        </w:rPr>
      </w:pPr>
      <w:r>
        <w:rPr>
          <w:rFonts w:ascii="Wingdings" w:cs="Wingdings" w:eastAsia="Wingdings" w:hAnsi="Wingdings"/>
          <w:sz w:val="21"/>
          <w:szCs w:val="21"/>
          <w:b w:val="1"/>
          <w:bCs w:val="1"/>
          <w:color w:val="auto"/>
        </w:rPr>
        <w:t xml:space="preserve">x </w:t>
      </w:r>
      <w:r>
        <w:rPr>
          <w:rFonts w:ascii="Times New Roman" w:cs="Times New Roman" w:eastAsia="Times New Roman" w:hAnsi="Times New Roman"/>
          <w:sz w:val="21"/>
          <w:szCs w:val="21"/>
          <w:color w:val="auto"/>
        </w:rPr>
        <w:t>By cash, check, bank draft or money order payable to the Company</w:t>
      </w:r>
      <w:r>
        <w:rPr>
          <w:rFonts w:ascii="Wingdings" w:cs="Wingdings" w:eastAsia="Wingdings" w:hAnsi="Wingdings"/>
          <w:sz w:val="21"/>
          <w:szCs w:val="21"/>
          <w:b w:val="1"/>
          <w:bCs w:val="1"/>
          <w:color w:val="auto"/>
        </w:rPr>
        <w:t xml:space="preserve"> x </w:t>
      </w:r>
      <w:r>
        <w:rPr>
          <w:rFonts w:ascii="Times New Roman" w:cs="Times New Roman" w:eastAsia="Times New Roman" w:hAnsi="Times New Roman"/>
          <w:sz w:val="21"/>
          <w:szCs w:val="21"/>
          <w:color w:val="auto"/>
        </w:rPr>
        <w:t>Pursuant to a Regulation T Program if the shares are publicly traded</w:t>
      </w:r>
      <w:r>
        <w:rPr>
          <w:rFonts w:ascii="Wingdings" w:cs="Wingdings" w:eastAsia="Wingdings" w:hAnsi="Wingdings"/>
          <w:sz w:val="21"/>
          <w:szCs w:val="21"/>
          <w:b w:val="1"/>
          <w:bCs w:val="1"/>
          <w:color w:val="auto"/>
        </w:rPr>
        <w:t xml:space="preserve"> x </w:t>
      </w:r>
      <w:r>
        <w:rPr>
          <w:rFonts w:ascii="Times New Roman" w:cs="Times New Roman" w:eastAsia="Times New Roman" w:hAnsi="Times New Roman"/>
          <w:sz w:val="21"/>
          <w:szCs w:val="21"/>
          <w:color w:val="auto"/>
        </w:rPr>
        <w:t>By delivery of already-owned shares if the shares are publicly traded</w:t>
      </w:r>
    </w:p>
    <w:p>
      <w:pPr>
        <w:spacing w:after="0" w:line="1" w:lineRule="exact"/>
        <w:rPr>
          <w:sz w:val="20"/>
          <w:szCs w:val="20"/>
          <w:color w:val="auto"/>
        </w:rPr>
      </w:pPr>
    </w:p>
    <w:p>
      <w:pPr>
        <w:ind w:left="2660" w:right="940" w:hanging="6"/>
        <w:spacing w:after="0" w:line="243" w:lineRule="auto"/>
        <w:tabs>
          <w:tab w:leader="none" w:pos="2903" w:val="left"/>
        </w:tabs>
        <w:numPr>
          <w:ilvl w:val="0"/>
          <w:numId w:val="22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If and only to the extent this option is a Nonstatutory Stock Option, and subject to the Company’s consent at the time of exercise, by a “net exercise” arrangement</w:t>
      </w:r>
    </w:p>
    <w:p>
      <w:pPr>
        <w:spacing w:after="0" w:line="17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Additional Terms/Acknowledgements: </w:t>
      </w:r>
      <w:r>
        <w:rPr>
          <w:rFonts w:ascii="Times New Roman" w:cs="Times New Roman" w:eastAsia="Times New Roman" w:hAnsi="Times New Roman"/>
          <w:sz w:val="22"/>
          <w:szCs w:val="22"/>
          <w:color w:val="auto"/>
        </w:rPr>
        <w:t>Optionholder acknowledges receipt of, and understands and agrees to, this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Grant Notice, the 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(ii) any compensation recovery policy that is adopted by the Company or is otherwise required by applicable law and (iii) any written employment or severance arrangement that would provide for vesting acceleration of this option upon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ind w:left="240" w:right="200" w:hanging="232"/>
        <w:spacing w:after="0" w:line="237" w:lineRule="auto"/>
        <w:tabs>
          <w:tab w:leader="none" w:pos="240" w:val="left"/>
        </w:tabs>
        <w:numPr>
          <w:ilvl w:val="0"/>
          <w:numId w:val="2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2"/>
          <w:szCs w:val="22"/>
          <w:color w:val="auto"/>
        </w:rPr>
        <w:t xml:space="preserve">If this is an Incentive Stock Option, it (plus other outstanding Incentive Stock Options) cannot be first </w:t>
      </w:r>
      <w:r>
        <w:rPr>
          <w:rFonts w:ascii="Times New Roman" w:cs="Times New Roman" w:eastAsia="Times New Roman" w:hAnsi="Times New Roman"/>
          <w:sz w:val="22"/>
          <w:szCs w:val="22"/>
          <w:i w:val="1"/>
          <w:iCs w:val="1"/>
          <w:color w:val="auto"/>
        </w:rPr>
        <w:t>exercisable</w:t>
      </w:r>
      <w:r>
        <w:rPr>
          <w:rFonts w:ascii="Times New Roman" w:cs="Times New Roman" w:eastAsia="Times New Roman" w:hAnsi="Times New Roman"/>
          <w:sz w:val="22"/>
          <w:szCs w:val="22"/>
          <w:color w:val="auto"/>
        </w:rPr>
        <w:t xml:space="preserve"> for more than $100,000 in value (measured by exercise price) in any calendar year. Any excess over $100,000 is a Nonstatutory Stock Option.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tc>
        <w:tc>
          <w:tcPr>
            <w:tcW w:w="5800" w:type="dxa"/>
            <w:vAlign w:val="bottom"/>
            <w:gridSpan w:val="2"/>
          </w:tcPr>
          <w:p>
            <w:pPr>
              <w:ind w:left="340"/>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PTIONHOLDER</w:t>
            </w: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474"/>
        </w:trPr>
        <w:tc>
          <w:tcPr>
            <w:tcW w:w="5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10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740" w:type="dxa"/>
            <w:vAlign w:val="bottom"/>
            <w:tcBorders>
              <w:top w:val="single" w:sz="8" w:color="auto"/>
              <w:bottom w:val="single" w:sz="8" w:color="auto"/>
            </w:tcBorders>
            <w:vMerge w:val="restart"/>
          </w:tcPr>
          <w:p>
            <w:pPr>
              <w:ind w:left="1960"/>
              <w:spacing w:after="0"/>
              <w:rPr>
                <w:sz w:val="20"/>
                <w:szCs w:val="20"/>
                <w:color w:val="auto"/>
              </w:rPr>
            </w:pPr>
            <w:r>
              <w:rPr>
                <w:rFonts w:ascii="Times New Roman" w:cs="Times New Roman" w:eastAsia="Times New Roman" w:hAnsi="Times New Roman"/>
                <w:sz w:val="22"/>
                <w:szCs w:val="22"/>
                <w:color w:val="auto"/>
              </w:rPr>
              <w:t>Signature</w:t>
            </w:r>
          </w:p>
        </w:tc>
        <w:tc>
          <w:tcPr>
            <w:tcW w:w="10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4740" w:type="dxa"/>
            <w:vAlign w:val="bottom"/>
            <w:vMerge w:val="continue"/>
          </w:tcPr>
          <w:p>
            <w:pPr>
              <w:spacing w:after="0"/>
              <w:rPr>
                <w:sz w:val="22"/>
                <w:szCs w:val="22"/>
                <w:color w:val="auto"/>
              </w:rPr>
            </w:pPr>
          </w:p>
        </w:tc>
        <w:tc>
          <w:tcPr>
            <w:tcW w:w="1020" w:type="dxa"/>
            <w:vAlign w:val="bottom"/>
          </w:tcPr>
          <w:p>
            <w:pPr>
              <w:spacing w:after="0"/>
              <w:rPr>
                <w:sz w:val="22"/>
                <w:szCs w:val="22"/>
                <w:color w:val="auto"/>
              </w:rPr>
            </w:pPr>
          </w:p>
        </w:tc>
        <w:tc>
          <w:tcPr>
            <w:tcW w:w="4780" w:type="dxa"/>
            <w:vAlign w:val="bottom"/>
          </w:tcPr>
          <w:p>
            <w:pPr>
              <w:ind w:left="1980"/>
              <w:spacing w:after="0"/>
              <w:rPr>
                <w:sz w:val="20"/>
                <w:szCs w:val="20"/>
                <w:color w:val="auto"/>
              </w:rPr>
            </w:pPr>
            <w:r>
              <w:rPr>
                <w:rFonts w:ascii="Times New Roman" w:cs="Times New Roman" w:eastAsia="Times New Roman" w:hAnsi="Times New Roman"/>
                <w:sz w:val="22"/>
                <w:szCs w:val="22"/>
                <w:color w:val="auto"/>
              </w:rPr>
              <w:t>Signature</w:t>
            </w:r>
          </w:p>
        </w:tc>
        <w:tc>
          <w:tcPr>
            <w:tcW w:w="0" w:type="dxa"/>
            <w:vAlign w:val="bottom"/>
          </w:tcPr>
          <w:p>
            <w:pPr>
              <w:spacing w:after="0"/>
              <w:rPr>
                <w:sz w:val="1"/>
                <w:szCs w:val="1"/>
                <w:color w:val="auto"/>
              </w:rPr>
            </w:pPr>
          </w:p>
        </w:tc>
      </w:tr>
      <w:tr>
        <w:trPr>
          <w:trHeight w:val="46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40" w:type="dxa"/>
            <w:vAlign w:val="bottom"/>
            <w:tcBorders>
              <w:bottom w:val="single" w:sz="8" w:color="auto"/>
            </w:tcBorders>
          </w:tcPr>
          <w:p>
            <w:pPr>
              <w:spacing w:after="0"/>
              <w:rPr>
                <w:sz w:val="24"/>
                <w:szCs w:val="24"/>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Date:</w:t>
            </w:r>
          </w:p>
        </w:tc>
        <w:tc>
          <w:tcPr>
            <w:tcW w:w="4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4740" w:type="dxa"/>
            <w:vAlign w:val="bottom"/>
            <w:tcBorders>
              <w:bottom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TTACHMENTS</w:t>
      </w:r>
      <w:r>
        <w:rPr>
          <w:rFonts w:ascii="Times New Roman" w:cs="Times New Roman" w:eastAsia="Times New Roman" w:hAnsi="Times New Roman"/>
          <w:sz w:val="22"/>
          <w:szCs w:val="22"/>
          <w:color w:val="auto"/>
        </w:rPr>
        <w:t>: Option Agreement, 2014 Equity Incentive Plan and Notice of Exercise</w:t>
      </w:r>
    </w:p>
    <w:p>
      <w:pPr>
        <w:spacing w:after="0" w:line="1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2"/>
          <w:szCs w:val="22"/>
          <w:b w:val="1"/>
          <w:bCs w:val="1"/>
          <w:color w:val="auto"/>
        </w:rPr>
        <w:t xml:space="preserv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3" w:name="page204"/>
    <w:bookmarkEnd w:id="203"/>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PTION 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ONSTATUTORY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PTION</w:t>
      </w:r>
      <w:r>
        <w:rPr>
          <w:rFonts w:ascii="Times New Roman" w:cs="Times New Roman" w:eastAsia="Times New Roman" w:hAnsi="Times New Roman"/>
          <w:sz w:val="22"/>
          <w:szCs w:val="22"/>
          <w:b w:val="1"/>
          <w:bCs w:val="1"/>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Pursuant to your Stock Option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this Option Agreement, Kyntra Bio, Inc.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an option under its 2014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to purchase the number of shares of the</w:t>
      </w:r>
    </w:p>
    <w:p>
      <w:pPr>
        <w:spacing w:after="0" w:line="231" w:lineRule="auto"/>
        <w:rPr>
          <w:sz w:val="20"/>
          <w:szCs w:val="20"/>
          <w:color w:val="auto"/>
        </w:rPr>
      </w:pPr>
      <w:r>
        <w:rPr>
          <w:rFonts w:ascii="Times New Roman" w:cs="Times New Roman" w:eastAsia="Times New Roman" w:hAnsi="Times New Roman"/>
          <w:sz w:val="22"/>
          <w:szCs w:val="22"/>
          <w:color w:val="auto"/>
        </w:rPr>
        <w:t>Company’s Common Stock indicated in your Grant Notice at the exercise price indicated in your Grant Notice. The option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granted to you effective as of the date of grant set forth in the Grant Notice (the “</w:t>
      </w:r>
      <w:r>
        <w:rPr>
          <w:rFonts w:ascii="Times New Roman" w:cs="Times New Roman" w:eastAsia="Times New Roman" w:hAnsi="Times New Roman"/>
          <w:sz w:val="21"/>
          <w:szCs w:val="21"/>
          <w:b w:val="1"/>
          <w:bCs w:val="1"/>
          <w:i w:val="1"/>
          <w:iCs w:val="1"/>
          <w:color w:val="auto"/>
        </w:rPr>
        <w:t>Date of Grant</w:t>
      </w:r>
      <w:r>
        <w:rPr>
          <w:rFonts w:ascii="Times New Roman" w:cs="Times New Roman" w:eastAsia="Times New Roman" w:hAnsi="Times New Roman"/>
          <w:sz w:val="21"/>
          <w:szCs w:val="21"/>
          <w:color w:val="auto"/>
        </w:rPr>
        <w:t>”). If there is any conflict between</w:t>
      </w:r>
    </w:p>
    <w:p>
      <w:pPr>
        <w:spacing w:after="0" w:line="231" w:lineRule="auto"/>
        <w:rPr>
          <w:sz w:val="20"/>
          <w:szCs w:val="20"/>
          <w:color w:val="auto"/>
        </w:rPr>
      </w:pPr>
      <w:r>
        <w:rPr>
          <w:rFonts w:ascii="Times New Roman" w:cs="Times New Roman" w:eastAsia="Times New Roman" w:hAnsi="Times New Roman"/>
          <w:sz w:val="22"/>
          <w:szCs w:val="22"/>
          <w:color w:val="auto"/>
        </w:rPr>
        <w:t>the terms in this Option Agreement and the Plan, the terms of the Plan will control. Capitalized terms not explicitly defined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Option Agreement or in the Grant Notice but defined in the Plan will have the same definitions as in the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details of your option, in addition to those set forth in the Grant Notice and the Plan, are as follows:</w:t>
      </w:r>
    </w:p>
    <w:p>
      <w:pPr>
        <w:spacing w:after="0" w:line="202" w:lineRule="exact"/>
        <w:rPr>
          <w:sz w:val="20"/>
          <w:szCs w:val="20"/>
          <w:color w:val="auto"/>
        </w:rPr>
      </w:pPr>
    </w:p>
    <w:p>
      <w:pPr>
        <w:ind w:right="200" w:firstLine="644"/>
        <w:spacing w:after="0" w:line="262" w:lineRule="auto"/>
        <w:tabs>
          <w:tab w:leader="none" w:pos="852"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7"/>
          <w:szCs w:val="17"/>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contained herein, your option will vest as provided in your Grant Notice.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cease upon the termination of your Continuous Service.</w:t>
      </w:r>
    </w:p>
    <w:p>
      <w:pPr>
        <w:spacing w:after="0" w:line="149" w:lineRule="exact"/>
        <w:rPr>
          <w:rFonts w:ascii="Times New Roman" w:cs="Times New Roman" w:eastAsia="Times New Roman" w:hAnsi="Times New Roman"/>
          <w:sz w:val="22"/>
          <w:szCs w:val="22"/>
          <w:b w:val="1"/>
          <w:bCs w:val="1"/>
          <w:color w:val="auto"/>
        </w:rPr>
      </w:pPr>
    </w:p>
    <w:p>
      <w:pPr>
        <w:ind w:right="420" w:firstLine="644"/>
        <w:spacing w:after="0" w:line="262" w:lineRule="auto"/>
        <w:tabs>
          <w:tab w:leader="none" w:pos="852"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UMBER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HARES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shares of Common Stock subject to your option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exercise price per share in your Grant Notice will be adjusted for Capitalization Adjustments.</w:t>
      </w:r>
    </w:p>
    <w:p>
      <w:pPr>
        <w:spacing w:after="0" w:line="149" w:lineRule="exact"/>
        <w:rPr>
          <w:rFonts w:ascii="Times New Roman" w:cs="Times New Roman" w:eastAsia="Times New Roman" w:hAnsi="Times New Roman"/>
          <w:sz w:val="22"/>
          <w:szCs w:val="22"/>
          <w:b w:val="1"/>
          <w:bCs w:val="1"/>
          <w:color w:val="auto"/>
        </w:rPr>
      </w:pPr>
    </w:p>
    <w:p>
      <w:pPr>
        <w:ind w:right="80" w:firstLine="644"/>
        <w:spacing w:after="0" w:line="235" w:lineRule="auto"/>
        <w:tabs>
          <w:tab w:leader="none" w:pos="852"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ESTRICTION FOR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XEMPT</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an Employee eligible for overtime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under the Fair Labor Standards Act of 1938, as amended (that is, a “</w:t>
      </w:r>
      <w:r>
        <w:rPr>
          <w:rFonts w:ascii="Times New Roman" w:cs="Times New Roman" w:eastAsia="Times New Roman" w:hAnsi="Times New Roman"/>
          <w:sz w:val="22"/>
          <w:szCs w:val="22"/>
          <w:b w:val="1"/>
          <w:bCs w:val="1"/>
          <w:i w:val="1"/>
          <w:iCs w:val="1"/>
          <w:color w:val="auto"/>
        </w:rPr>
        <w:t>Non-Exempt Employee</w:t>
      </w:r>
      <w:r>
        <w:rPr>
          <w:rFonts w:ascii="Times New Roman" w:cs="Times New Roman" w:eastAsia="Times New Roman" w:hAnsi="Times New Roman"/>
          <w:sz w:val="22"/>
          <w:szCs w:val="22"/>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78" w:lineRule="exact"/>
        <w:rPr>
          <w:rFonts w:ascii="Times New Roman" w:cs="Times New Roman" w:eastAsia="Times New Roman" w:hAnsi="Times New Roman"/>
          <w:sz w:val="22"/>
          <w:szCs w:val="22"/>
          <w:b w:val="1"/>
          <w:bCs w:val="1"/>
          <w:color w:val="auto"/>
        </w:rPr>
      </w:pPr>
    </w:p>
    <w:p>
      <w:pPr>
        <w:ind w:right="300" w:firstLine="644"/>
        <w:spacing w:after="0" w:line="241" w:lineRule="auto"/>
        <w:tabs>
          <w:tab w:leader="none" w:pos="852"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XERCISE PRIOR TO</w:t>
      </w:r>
      <w:r>
        <w:rPr>
          <w:rFonts w:ascii="Times New Roman" w:cs="Times New Roman" w:eastAsia="Times New Roman" w:hAnsi="Times New Roman"/>
          <w:sz w:val="22"/>
          <w:szCs w:val="22"/>
          <w:b w:val="1"/>
          <w:bCs w:val="1"/>
          <w:color w:val="auto"/>
        </w:rPr>
        <w:t xml:space="preserve"> V</w:t>
      </w:r>
      <w:r>
        <w:rPr>
          <w:rFonts w:ascii="Times New Roman" w:cs="Times New Roman" w:eastAsia="Times New Roman" w:hAnsi="Times New Roman"/>
          <w:sz w:val="17"/>
          <w:szCs w:val="17"/>
          <w:b w:val="1"/>
          <w:bCs w:val="1"/>
          <w:color w:val="auto"/>
        </w:rPr>
        <w:t>ESTING</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ARLY</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permitted in your Grant Notice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Schedule” 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400" w:firstLine="1281"/>
        <w:spacing w:after="0" w:line="258" w:lineRule="auto"/>
        <w:tabs>
          <w:tab w:leader="none" w:pos="1579" w:val="left"/>
        </w:tabs>
        <w:numPr>
          <w:ilvl w:val="0"/>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partial exercise of your option will be deemed to cover first vested shares of Common Stock and then the earliest vesting installment of unvested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185" w:lineRule="exact"/>
        <w:rPr>
          <w:sz w:val="20"/>
          <w:szCs w:val="20"/>
          <w:color w:val="auto"/>
        </w:rPr>
      </w:pPr>
    </w:p>
    <w:p>
      <w:pPr>
        <w:ind w:right="360" w:firstLine="1281"/>
        <w:spacing w:after="0" w:line="244" w:lineRule="auto"/>
        <w:tabs>
          <w:tab w:leader="none" w:pos="1591" w:val="left"/>
        </w:tabs>
        <w:numPr>
          <w:ilvl w:val="1"/>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173" w:lineRule="exact"/>
        <w:rPr>
          <w:rFonts w:ascii="Times New Roman" w:cs="Times New Roman" w:eastAsia="Times New Roman" w:hAnsi="Times New Roman"/>
          <w:sz w:val="22"/>
          <w:szCs w:val="22"/>
          <w:b w:val="1"/>
          <w:bCs w:val="1"/>
          <w:color w:val="auto"/>
        </w:rPr>
      </w:pPr>
    </w:p>
    <w:p>
      <w:pPr>
        <w:ind w:right="200" w:firstLine="1281"/>
        <w:spacing w:after="0" w:line="258" w:lineRule="auto"/>
        <w:tabs>
          <w:tab w:leader="none" w:pos="1566" w:val="left"/>
        </w:tabs>
        <w:numPr>
          <w:ilvl w:val="1"/>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will enter into the Company’s form of Early Exercise Stock Purchase Agreement with a vesting schedule that will result in the same vesting as if no early exercise had occurred; and</w:t>
      </w:r>
    </w:p>
    <w:p>
      <w:pPr>
        <w:spacing w:after="0" w:line="158" w:lineRule="exact"/>
        <w:rPr>
          <w:rFonts w:ascii="Times New Roman" w:cs="Times New Roman" w:eastAsia="Times New Roman" w:hAnsi="Times New Roman"/>
          <w:sz w:val="22"/>
          <w:szCs w:val="22"/>
          <w:b w:val="1"/>
          <w:bCs w:val="1"/>
          <w:color w:val="auto"/>
        </w:rPr>
      </w:pPr>
    </w:p>
    <w:p>
      <w:pPr>
        <w:ind w:firstLine="1281"/>
        <w:spacing w:after="0" w:line="238" w:lineRule="auto"/>
        <w:tabs>
          <w:tab w:leader="none" w:pos="1591" w:val="left"/>
        </w:tabs>
        <w:numPr>
          <w:ilvl w:val="1"/>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172" w:lineRule="exact"/>
        <w:rPr>
          <w:rFonts w:ascii="Times New Roman" w:cs="Times New Roman" w:eastAsia="Times New Roman" w:hAnsi="Times New Roman"/>
          <w:sz w:val="22"/>
          <w:szCs w:val="22"/>
          <w:b w:val="1"/>
          <w:bCs w:val="1"/>
          <w:color w:val="auto"/>
        </w:rPr>
      </w:pPr>
    </w:p>
    <w:p>
      <w:pPr>
        <w:ind w:right="200" w:firstLine="644"/>
        <w:spacing w:after="0" w:line="246" w:lineRule="auto"/>
        <w:tabs>
          <w:tab w:leader="none" w:pos="852"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7"/>
          <w:szCs w:val="17"/>
          <w:b w:val="1"/>
          <w:bCs w:val="1"/>
          <w:color w:val="auto"/>
        </w:rPr>
        <w:t>ETHOD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must pay the full amount of the exercise price for the shares you wish to exercise.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pay the exercise price in cash or by check, bank draft or money order payable to the Company or in any other manner permitted by your Grant Notice, which may include one or more of the following:</w:t>
      </w:r>
    </w:p>
    <w:p>
      <w:pPr>
        <w:spacing w:after="0" w:line="171" w:lineRule="exact"/>
        <w:rPr>
          <w:rFonts w:ascii="Times New Roman" w:cs="Times New Roman" w:eastAsia="Times New Roman" w:hAnsi="Times New Roman"/>
          <w:sz w:val="22"/>
          <w:szCs w:val="22"/>
          <w:b w:val="1"/>
          <w:bCs w:val="1"/>
          <w:color w:val="auto"/>
        </w:rPr>
      </w:pPr>
    </w:p>
    <w:p>
      <w:pPr>
        <w:ind w:right="120" w:firstLine="1281"/>
        <w:spacing w:after="0" w:line="238" w:lineRule="auto"/>
        <w:tabs>
          <w:tab w:leader="none" w:pos="1579" w:val="left"/>
        </w:tabs>
        <w:numPr>
          <w:ilvl w:val="1"/>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76" w:lineRule="exact"/>
        <w:rPr>
          <w:rFonts w:ascii="Times New Roman" w:cs="Times New Roman" w:eastAsia="Times New Roman" w:hAnsi="Times New Roman"/>
          <w:sz w:val="22"/>
          <w:szCs w:val="22"/>
          <w:b w:val="1"/>
          <w:bCs w:val="1"/>
          <w:color w:val="auto"/>
        </w:rPr>
      </w:pPr>
    </w:p>
    <w:p>
      <w:pPr>
        <w:ind w:right="80" w:firstLine="1281"/>
        <w:spacing w:after="0" w:line="235" w:lineRule="auto"/>
        <w:tabs>
          <w:tab w:leader="none" w:pos="1591" w:val="left"/>
        </w:tabs>
        <w:numPr>
          <w:ilvl w:val="1"/>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83" w:lineRule="exact"/>
        <w:rPr>
          <w:rFonts w:ascii="Times New Roman" w:cs="Times New Roman" w:eastAsia="Times New Roman" w:hAnsi="Times New Roman"/>
          <w:sz w:val="22"/>
          <w:szCs w:val="22"/>
          <w:b w:val="1"/>
          <w:bCs w:val="1"/>
          <w:color w:val="auto"/>
        </w:rPr>
      </w:pPr>
    </w:p>
    <w:p>
      <w:pPr>
        <w:ind w:right="100" w:firstLine="1281"/>
        <w:spacing w:after="0" w:line="239" w:lineRule="auto"/>
        <w:tabs>
          <w:tab w:leader="none" w:pos="1566" w:val="left"/>
        </w:tabs>
        <w:numPr>
          <w:ilvl w:val="1"/>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not satisfied by the “net exercise” in cash or other permitted form of payment. Shares of Common Stock will no longer be outstanding under your option and will not be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5" w:name="page206"/>
    <w:bookmarkEnd w:id="205"/>
    <w:p>
      <w:pPr>
        <w:ind w:right="20"/>
        <w:spacing w:after="0" w:line="258" w:lineRule="auto"/>
        <w:rPr>
          <w:sz w:val="20"/>
          <w:szCs w:val="20"/>
          <w:color w:val="auto"/>
        </w:rPr>
      </w:pPr>
      <w:r>
        <w:rPr>
          <w:rFonts w:ascii="Times New Roman" w:cs="Times New Roman" w:eastAsia="Times New Roman" w:hAnsi="Times New Roman"/>
          <w:sz w:val="22"/>
          <w:szCs w:val="22"/>
          <w:color w:val="auto"/>
        </w:rPr>
        <w:t>thereafter if those shares (i) are used to pay the exercise price pursuant to the “net exercise,” (ii) are delivered to you as a result of such exercise, and (iii) are withheld to satisfy your tax withholding obligations.</w:t>
      </w:r>
    </w:p>
    <w:p>
      <w:pPr>
        <w:spacing w:after="0" w:line="154" w:lineRule="exact"/>
        <w:rPr>
          <w:sz w:val="20"/>
          <w:szCs w:val="20"/>
          <w:color w:val="auto"/>
        </w:rPr>
      </w:pPr>
    </w:p>
    <w:p>
      <w:pPr>
        <w:ind w:left="860" w:hanging="216"/>
        <w:spacing w:after="0"/>
        <w:tabs>
          <w:tab w:leader="none" w:pos="860"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HOLE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exercise your option only for whole shares of Common Stock.</w:t>
      </w:r>
    </w:p>
    <w:p>
      <w:pPr>
        <w:spacing w:after="0" w:line="206" w:lineRule="exact"/>
        <w:rPr>
          <w:rFonts w:ascii="Times New Roman" w:cs="Times New Roman" w:eastAsia="Times New Roman" w:hAnsi="Times New Roman"/>
          <w:sz w:val="22"/>
          <w:szCs w:val="22"/>
          <w:b w:val="1"/>
          <w:bCs w:val="1"/>
          <w:color w:val="auto"/>
        </w:rPr>
      </w:pPr>
    </w:p>
    <w:p>
      <w:pPr>
        <w:ind w:right="100" w:firstLine="644"/>
        <w:spacing w:after="0" w:line="237" w:lineRule="auto"/>
        <w:tabs>
          <w:tab w:leader="none" w:pos="852"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AW</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may you exercise your option unless the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75" w:lineRule="exact"/>
        <w:rPr>
          <w:rFonts w:ascii="Times New Roman" w:cs="Times New Roman" w:eastAsia="Times New Roman" w:hAnsi="Times New Roman"/>
          <w:sz w:val="22"/>
          <w:szCs w:val="22"/>
          <w:b w:val="1"/>
          <w:bCs w:val="1"/>
          <w:color w:val="auto"/>
        </w:rPr>
      </w:pPr>
    </w:p>
    <w:p>
      <w:pPr>
        <w:ind w:firstLine="644"/>
        <w:spacing w:after="0" w:line="262" w:lineRule="auto"/>
        <w:tabs>
          <w:tab w:leader="none" w:pos="852"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not exercise your option before the Date of Grant or after the expiration of the option’s term.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your option expires, subject to the provisions of Section 5(h) of the Plan, upon the earliest of the following:</w:t>
      </w:r>
    </w:p>
    <w:p>
      <w:pPr>
        <w:spacing w:after="0" w:line="153" w:lineRule="exact"/>
        <w:rPr>
          <w:rFonts w:ascii="Times New Roman" w:cs="Times New Roman" w:eastAsia="Times New Roman" w:hAnsi="Times New Roman"/>
          <w:sz w:val="22"/>
          <w:szCs w:val="22"/>
          <w:b w:val="1"/>
          <w:bCs w:val="1"/>
          <w:color w:val="auto"/>
        </w:rPr>
      </w:pPr>
    </w:p>
    <w:p>
      <w:pPr>
        <w:ind w:right="100" w:firstLine="1281"/>
        <w:spacing w:after="0" w:line="258" w:lineRule="auto"/>
        <w:tabs>
          <w:tab w:leader="none" w:pos="1579" w:val="left"/>
        </w:tabs>
        <w:numPr>
          <w:ilvl w:val="1"/>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immediately upon the date on which the event giving rise to your termination of Continuous Service for Cause occurs (or, if required by law, the date of termination of Continuous Service for Cause);</w:t>
      </w:r>
    </w:p>
    <w:p>
      <w:pPr>
        <w:spacing w:after="0" w:line="158" w:lineRule="exact"/>
        <w:rPr>
          <w:rFonts w:ascii="Times New Roman" w:cs="Times New Roman" w:eastAsia="Times New Roman" w:hAnsi="Times New Roman"/>
          <w:sz w:val="22"/>
          <w:szCs w:val="22"/>
          <w:b w:val="1"/>
          <w:bCs w:val="1"/>
          <w:color w:val="auto"/>
        </w:rPr>
      </w:pPr>
    </w:p>
    <w:p>
      <w:pPr>
        <w:ind w:right="20" w:firstLine="1281"/>
        <w:spacing w:after="0" w:line="244" w:lineRule="auto"/>
        <w:tabs>
          <w:tab w:leader="none" w:pos="1591" w:val="left"/>
        </w:tabs>
        <w:numPr>
          <w:ilvl w:val="1"/>
          <w:numId w:val="2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three (3)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83" w:lineRule="exact"/>
        <w:rPr>
          <w:rFonts w:ascii="Times New Roman" w:cs="Times New Roman" w:eastAsia="Times New Roman" w:hAnsi="Times New Roman"/>
          <w:sz w:val="21"/>
          <w:szCs w:val="21"/>
          <w:b w:val="1"/>
          <w:bCs w:val="1"/>
          <w:color w:val="auto"/>
        </w:rPr>
      </w:pPr>
    </w:p>
    <w:p>
      <w:pPr>
        <w:ind w:right="860" w:firstLine="1281"/>
        <w:spacing w:after="0" w:line="258" w:lineRule="auto"/>
        <w:tabs>
          <w:tab w:leader="none" w:pos="1566" w:val="left"/>
        </w:tabs>
        <w:numPr>
          <w:ilvl w:val="1"/>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twelve (12) months after the termination of your Continuous Service due to your Disability (except as otherwise provided in Section 8(d)) below;</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1172845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ind w:right="500" w:firstLine="1281"/>
        <w:spacing w:after="0" w:line="258" w:lineRule="auto"/>
        <w:tabs>
          <w:tab w:leader="none" w:pos="1591" w:val="left"/>
        </w:tabs>
        <w:numPr>
          <w:ilvl w:val="0"/>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eighteen (18) months after your death if you die either during your Continuous Service or within three (3) months after your Continuous Service terminates for any reason other than Cause or Disability;</w:t>
      </w:r>
    </w:p>
    <w:p>
      <w:pPr>
        <w:spacing w:after="0" w:line="158" w:lineRule="exact"/>
        <w:rPr>
          <w:rFonts w:ascii="Times New Roman" w:cs="Times New Roman" w:eastAsia="Times New Roman" w:hAnsi="Times New Roman"/>
          <w:sz w:val="22"/>
          <w:szCs w:val="22"/>
          <w:b w:val="1"/>
          <w:bCs w:val="1"/>
          <w:color w:val="auto"/>
        </w:rPr>
      </w:pPr>
    </w:p>
    <w:p>
      <w:pPr>
        <w:ind w:left="1580" w:hanging="299"/>
        <w:spacing w:after="0"/>
        <w:tabs>
          <w:tab w:leader="none" w:pos="1580" w:val="left"/>
        </w:tabs>
        <w:numPr>
          <w:ilvl w:val="0"/>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Expiration Date indicated in your Grant Notice; or</w:t>
      </w:r>
    </w:p>
    <w:p>
      <w:pPr>
        <w:spacing w:after="0" w:line="206" w:lineRule="exact"/>
        <w:rPr>
          <w:rFonts w:ascii="Times New Roman" w:cs="Times New Roman" w:eastAsia="Times New Roman" w:hAnsi="Times New Roman"/>
          <w:sz w:val="22"/>
          <w:szCs w:val="22"/>
          <w:b w:val="1"/>
          <w:bCs w:val="1"/>
          <w:color w:val="auto"/>
        </w:rPr>
      </w:pPr>
    </w:p>
    <w:p>
      <w:pPr>
        <w:ind w:left="1560" w:hanging="279"/>
        <w:spacing w:after="0"/>
        <w:tabs>
          <w:tab w:leader="none" w:pos="1560" w:val="left"/>
        </w:tabs>
        <w:numPr>
          <w:ilvl w:val="0"/>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day before the tenth (10th) anniversary of the Date of Grant.</w:t>
      </w:r>
    </w:p>
    <w:p>
      <w:pPr>
        <w:spacing w:after="0" w:line="206" w:lineRule="exact"/>
        <w:rPr>
          <w:sz w:val="20"/>
          <w:szCs w:val="20"/>
          <w:color w:val="auto"/>
        </w:rPr>
      </w:pPr>
    </w:p>
    <w:p>
      <w:pPr>
        <w:ind w:firstLine="636"/>
        <w:spacing w:after="0" w:line="248" w:lineRule="auto"/>
        <w:rPr>
          <w:sz w:val="20"/>
          <w:szCs w:val="20"/>
          <w:color w:val="auto"/>
        </w:rPr>
      </w:pPr>
      <w:r>
        <w:rPr>
          <w:rFonts w:ascii="Times New Roman" w:cs="Times New Roman" w:eastAsia="Times New Roman" w:hAnsi="Times New Roman"/>
          <w:sz w:val="21"/>
          <w:szCs w:val="21"/>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274" w:lineRule="exact"/>
        <w:rPr>
          <w:sz w:val="20"/>
          <w:szCs w:val="20"/>
          <w:color w:val="auto"/>
        </w:rPr>
      </w:pPr>
    </w:p>
    <w:p>
      <w:pPr>
        <w:ind w:left="860" w:hanging="216"/>
        <w:spacing w:after="0"/>
        <w:tabs>
          <w:tab w:leader="none" w:pos="860"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b w:val="1"/>
          <w:bCs w:val="1"/>
          <w:color w:val="auto"/>
        </w:rPr>
        <w:t>.</w:t>
      </w:r>
    </w:p>
    <w:p>
      <w:pPr>
        <w:spacing w:after="0" w:line="102" w:lineRule="exact"/>
        <w:rPr>
          <w:rFonts w:ascii="Times New Roman" w:cs="Times New Roman" w:eastAsia="Times New Roman" w:hAnsi="Times New Roman"/>
          <w:sz w:val="22"/>
          <w:szCs w:val="22"/>
          <w:b w:val="1"/>
          <w:bCs w:val="1"/>
          <w:color w:val="auto"/>
        </w:rPr>
      </w:pPr>
    </w:p>
    <w:p>
      <w:pPr>
        <w:ind w:right="340" w:firstLine="1281"/>
        <w:spacing w:after="0" w:line="238" w:lineRule="auto"/>
        <w:tabs>
          <w:tab w:leader="none" w:pos="1579" w:val="left"/>
        </w:tabs>
        <w:numPr>
          <w:ilvl w:val="1"/>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76" w:lineRule="exact"/>
        <w:rPr>
          <w:rFonts w:ascii="Times New Roman" w:cs="Times New Roman" w:eastAsia="Times New Roman" w:hAnsi="Times New Roman"/>
          <w:sz w:val="22"/>
          <w:szCs w:val="22"/>
          <w:b w:val="1"/>
          <w:bCs w:val="1"/>
          <w:color w:val="auto"/>
        </w:rPr>
      </w:pPr>
    </w:p>
    <w:p>
      <w:pPr>
        <w:ind w:right="180" w:firstLine="1281"/>
        <w:spacing w:after="0" w:line="238" w:lineRule="auto"/>
        <w:tabs>
          <w:tab w:leader="none" w:pos="1591" w:val="left"/>
        </w:tabs>
        <w:numPr>
          <w:ilvl w:val="1"/>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76" w:lineRule="exact"/>
        <w:rPr>
          <w:rFonts w:ascii="Times New Roman" w:cs="Times New Roman" w:eastAsia="Times New Roman" w:hAnsi="Times New Roman"/>
          <w:sz w:val="22"/>
          <w:szCs w:val="22"/>
          <w:b w:val="1"/>
          <w:bCs w:val="1"/>
          <w:color w:val="auto"/>
        </w:rPr>
      </w:pPr>
    </w:p>
    <w:p>
      <w:pPr>
        <w:ind w:right="280" w:firstLine="1281"/>
        <w:spacing w:after="0" w:line="239" w:lineRule="auto"/>
        <w:tabs>
          <w:tab w:leader="none" w:pos="1566" w:val="left"/>
        </w:tabs>
        <w:numPr>
          <w:ilvl w:val="1"/>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176" w:lineRule="exact"/>
        <w:rPr>
          <w:rFonts w:ascii="Times New Roman" w:cs="Times New Roman" w:eastAsia="Times New Roman" w:hAnsi="Times New Roman"/>
          <w:sz w:val="22"/>
          <w:szCs w:val="22"/>
          <w:b w:val="1"/>
          <w:bCs w:val="1"/>
          <w:color w:val="auto"/>
        </w:rPr>
      </w:pPr>
    </w:p>
    <w:p>
      <w:pPr>
        <w:ind w:left="960" w:hanging="316"/>
        <w:spacing w:after="0"/>
        <w:tabs>
          <w:tab w:leader="none" w:pos="960" w:val="left"/>
        </w:tabs>
        <w:numPr>
          <w:ilvl w:val="0"/>
          <w:numId w:val="2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6"/>
          <w:szCs w:val="16"/>
          <w:b w:val="1"/>
          <w:bCs w:val="1"/>
          <w:color w:val="auto"/>
        </w:rPr>
        <w:t>RANSFERABILITY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otherwise provided in this Section 10, your option is not transferable, except by will 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the laws of descent and distribution, and is exercisable during your life only by you.</w:t>
      </w:r>
    </w:p>
    <w:p>
      <w:pPr>
        <w:spacing w:after="0" w:line="178" w:lineRule="exact"/>
        <w:rPr>
          <w:sz w:val="20"/>
          <w:szCs w:val="20"/>
          <w:color w:val="auto"/>
        </w:rPr>
      </w:pPr>
    </w:p>
    <w:p>
      <w:pPr>
        <w:ind w:right="240" w:firstLine="1281"/>
        <w:spacing w:after="0" w:line="262" w:lineRule="auto"/>
        <w:tabs>
          <w:tab w:leader="none" w:pos="1579"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Certain Trusts. </w:t>
      </w:r>
      <w:r>
        <w:rPr>
          <w:rFonts w:ascii="Times New Roman" w:cs="Times New Roman" w:eastAsia="Times New Roman" w:hAnsi="Times New Roman"/>
          <w:sz w:val="22"/>
          <w:szCs w:val="22"/>
          <w:color w:val="auto"/>
        </w:rPr>
        <w:t>Upon receiving written permission from the Board or its duly authorized designee, you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your option to a trust if you are considered to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7" w:name="page208"/>
    <w:bookmarkEnd w:id="207"/>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beneficial owner (determined under Section 671 of the Code and applicable state law) while the option is held in the trust.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and the trustee must enter into transfer and other agreements required by the Company.</w:t>
      </w:r>
    </w:p>
    <w:p>
      <w:pPr>
        <w:spacing w:after="0" w:line="178" w:lineRule="exact"/>
        <w:rPr>
          <w:sz w:val="20"/>
          <w:szCs w:val="20"/>
          <w:color w:val="auto"/>
        </w:rPr>
      </w:pPr>
    </w:p>
    <w:p>
      <w:pPr>
        <w:ind w:right="20" w:firstLine="1281"/>
        <w:spacing w:after="0" w:line="235" w:lineRule="auto"/>
        <w:tabs>
          <w:tab w:leader="none" w:pos="1591" w:val="left"/>
        </w:tabs>
        <w:numPr>
          <w:ilvl w:val="1"/>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Domestic Relations Orders. </w:t>
      </w:r>
      <w:r>
        <w:rPr>
          <w:rFonts w:ascii="Times New Roman" w:cs="Times New Roman" w:eastAsia="Times New Roman" w:hAnsi="Times New Roman"/>
          <w:sz w:val="22"/>
          <w:szCs w:val="22"/>
          <w:color w:val="auto"/>
        </w:rPr>
        <w:t>Upon receiving written permission from the Board or its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78" w:lineRule="exact"/>
        <w:rPr>
          <w:rFonts w:ascii="Times New Roman" w:cs="Times New Roman" w:eastAsia="Times New Roman" w:hAnsi="Times New Roman"/>
          <w:sz w:val="22"/>
          <w:szCs w:val="22"/>
          <w:b w:val="1"/>
          <w:bCs w:val="1"/>
          <w:color w:val="auto"/>
        </w:rPr>
      </w:pPr>
    </w:p>
    <w:p>
      <w:pPr>
        <w:ind w:right="20" w:firstLine="1281"/>
        <w:spacing w:after="0" w:line="237" w:lineRule="auto"/>
        <w:tabs>
          <w:tab w:leader="none" w:pos="1567" w:val="left"/>
        </w:tabs>
        <w:numPr>
          <w:ilvl w:val="1"/>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Upon receiving written permission from the Board or its duly authorized designee,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5" w:lineRule="exact"/>
        <w:rPr>
          <w:rFonts w:ascii="Times New Roman" w:cs="Times New Roman" w:eastAsia="Times New Roman" w:hAnsi="Times New Roman"/>
          <w:sz w:val="22"/>
          <w:szCs w:val="22"/>
          <w:b w:val="1"/>
          <w:bCs w:val="1"/>
          <w:color w:val="auto"/>
        </w:rPr>
      </w:pPr>
    </w:p>
    <w:p>
      <w:pPr>
        <w:ind w:firstLine="644"/>
        <w:spacing w:after="0" w:line="238" w:lineRule="auto"/>
        <w:tabs>
          <w:tab w:leader="none" w:pos="960"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PTION NOT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is not an employment or service contract, and nothing in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84" w:lineRule="exact"/>
        <w:rPr>
          <w:rFonts w:ascii="Times New Roman" w:cs="Times New Roman" w:eastAsia="Times New Roman" w:hAnsi="Times New Roman"/>
          <w:sz w:val="22"/>
          <w:szCs w:val="22"/>
          <w:b w:val="1"/>
          <w:bCs w:val="1"/>
          <w:color w:val="auto"/>
        </w:rPr>
      </w:pPr>
    </w:p>
    <w:p>
      <w:pPr>
        <w:ind w:left="960" w:hanging="316"/>
        <w:spacing w:after="0"/>
        <w:tabs>
          <w:tab w:leader="none" w:pos="960"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BLIGATIONS</w:t>
      </w:r>
      <w:r>
        <w:rPr>
          <w:rFonts w:ascii="Times New Roman" w:cs="Times New Roman" w:eastAsia="Times New Roman" w:hAnsi="Times New Roman"/>
          <w:sz w:val="22"/>
          <w:szCs w:val="22"/>
          <w:b w:val="1"/>
          <w:bCs w:val="1"/>
          <w:color w:val="auto"/>
        </w:rPr>
        <w:t>.</w:t>
      </w:r>
    </w:p>
    <w:p>
      <w:pPr>
        <w:spacing w:after="0" w:line="102" w:lineRule="exact"/>
        <w:rPr>
          <w:rFonts w:ascii="Times New Roman" w:cs="Times New Roman" w:eastAsia="Times New Roman" w:hAnsi="Times New Roman"/>
          <w:sz w:val="22"/>
          <w:szCs w:val="22"/>
          <w:b w:val="1"/>
          <w:bCs w:val="1"/>
          <w:color w:val="auto"/>
        </w:rPr>
      </w:pPr>
    </w:p>
    <w:p>
      <w:pPr>
        <w:ind w:right="220" w:firstLine="1281"/>
        <w:spacing w:after="0" w:line="236" w:lineRule="auto"/>
        <w:tabs>
          <w:tab w:leader="none" w:pos="1579" w:val="left"/>
        </w:tabs>
        <w:numPr>
          <w:ilvl w:val="1"/>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1" w:lineRule="exact"/>
        <w:rPr>
          <w:rFonts w:ascii="Times New Roman" w:cs="Times New Roman" w:eastAsia="Times New Roman" w:hAnsi="Times New Roman"/>
          <w:sz w:val="22"/>
          <w:szCs w:val="22"/>
          <w:b w:val="1"/>
          <w:bCs w:val="1"/>
          <w:color w:val="auto"/>
        </w:rPr>
      </w:pPr>
    </w:p>
    <w:p>
      <w:pPr>
        <w:ind w:right="20" w:firstLine="1281"/>
        <w:spacing w:after="0" w:line="258" w:lineRule="auto"/>
        <w:tabs>
          <w:tab w:leader="none" w:pos="1591" w:val="left"/>
        </w:tabs>
        <w:numPr>
          <w:ilvl w:val="1"/>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this option is a Nonstatutory Stock Option, then upon your request and subject to approval by the Company, and compliance with any applicable legal conditions or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8" w:name="page209"/>
    <w:bookmarkEnd w:id="208"/>
    <w:p>
      <w:pPr>
        <w:spacing w:after="0" w:line="185"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Company may withhold from fully vested shares of Common Stock otherwise issuable to you upon the exercise of your option a number of whole shares of Common Stock</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79" w:lineRule="exact"/>
        <w:rPr>
          <w:sz w:val="20"/>
          <w:szCs w:val="20"/>
          <w:color w:val="auto"/>
        </w:rPr>
      </w:pPr>
    </w:p>
    <w:p>
      <w:pPr>
        <w:jc w:val="both"/>
        <w:ind w:firstLine="1281"/>
        <w:spacing w:after="0" w:line="239" w:lineRule="auto"/>
        <w:tabs>
          <w:tab w:leader="none" w:pos="1566" w:val="left"/>
        </w:tabs>
        <w:numPr>
          <w:ilvl w:val="1"/>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76" w:lineRule="exact"/>
        <w:rPr>
          <w:rFonts w:ascii="Times New Roman" w:cs="Times New Roman" w:eastAsia="Times New Roman" w:hAnsi="Times New Roman"/>
          <w:sz w:val="22"/>
          <w:szCs w:val="22"/>
          <w:b w:val="1"/>
          <w:bCs w:val="1"/>
          <w:color w:val="auto"/>
        </w:rPr>
      </w:pPr>
    </w:p>
    <w:p>
      <w:pPr>
        <w:ind w:firstLine="644"/>
        <w:spacing w:after="0" w:line="237" w:lineRule="auto"/>
        <w:tabs>
          <w:tab w:leader="none" w:pos="96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ONSEQUENCES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agree that the Company does not have a duty to design or administer the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75" w:lineRule="exact"/>
        <w:rPr>
          <w:rFonts w:ascii="Times New Roman" w:cs="Times New Roman" w:eastAsia="Times New Roman" w:hAnsi="Times New Roman"/>
          <w:sz w:val="22"/>
          <w:szCs w:val="22"/>
          <w:b w:val="1"/>
          <w:bCs w:val="1"/>
          <w:color w:val="auto"/>
        </w:rPr>
      </w:pPr>
    </w:p>
    <w:p>
      <w:pPr>
        <w:ind w:right="20" w:firstLine="644"/>
        <w:spacing w:after="0" w:line="236" w:lineRule="auto"/>
        <w:tabs>
          <w:tab w:leader="none" w:pos="96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provided for in your option or the Plan will be given in writing (including electronically)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5" w:lineRule="exact"/>
        <w:rPr>
          <w:rFonts w:ascii="Times New Roman" w:cs="Times New Roman" w:eastAsia="Times New Roman" w:hAnsi="Times New Roman"/>
          <w:sz w:val="22"/>
          <w:szCs w:val="22"/>
          <w:b w:val="1"/>
          <w:bCs w:val="1"/>
          <w:color w:val="auto"/>
        </w:rPr>
      </w:pPr>
    </w:p>
    <w:p>
      <w:pPr>
        <w:ind w:right="160" w:firstLine="644"/>
        <w:spacing w:after="0" w:line="246" w:lineRule="auto"/>
        <w:tabs>
          <w:tab w:leader="none" w:pos="96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is subject to all the provisions of the Plan, the provisions of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made a part of your option, and is further subject to all interpretations, amendments, rules and regulations, which may from time to time be promulgated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85"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21"/>
          <w:szCs w:val="21"/>
          <w:color w:val="auto"/>
        </w:rPr>
        <w:t>with The Dodd–Frank Wall Street Reform and Consumer Protection Act and any implementing regulations thereunder, any clawback policy adopted by the Company and any compensation recovery policy otherwise required by applicable law.</w:t>
      </w:r>
    </w:p>
    <w:p>
      <w:pPr>
        <w:spacing w:after="0" w:line="131" w:lineRule="exact"/>
        <w:rPr>
          <w:sz w:val="20"/>
          <w:szCs w:val="20"/>
          <w:color w:val="auto"/>
        </w:rPr>
      </w:pPr>
    </w:p>
    <w:p>
      <w:pPr>
        <w:ind w:right="240" w:firstLine="644"/>
        <w:spacing w:after="0" w:line="241" w:lineRule="auto"/>
        <w:tabs>
          <w:tab w:leader="none" w:pos="960"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OCUMENTS</w:t>
      </w:r>
      <w:r>
        <w:rPr>
          <w:rFonts w:ascii="Times New Roman" w:cs="Times New Roman" w:eastAsia="Times New Roman" w:hAnsi="Times New Roman"/>
          <w:sz w:val="22"/>
          <w:szCs w:val="22"/>
          <w:color w:val="auto"/>
        </w:rPr>
        <w:t>. You hereby acknowledge receipt of and the right to receive a document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71" w:lineRule="exact"/>
        <w:rPr>
          <w:rFonts w:ascii="Times New Roman" w:cs="Times New Roman" w:eastAsia="Times New Roman" w:hAnsi="Times New Roman"/>
          <w:sz w:val="22"/>
          <w:szCs w:val="22"/>
          <w:b w:val="1"/>
          <w:bCs w:val="1"/>
          <w:color w:val="auto"/>
        </w:rPr>
      </w:pPr>
    </w:p>
    <w:p>
      <w:pPr>
        <w:ind w:right="140" w:firstLine="644"/>
        <w:spacing w:after="0" w:line="241" w:lineRule="auto"/>
        <w:tabs>
          <w:tab w:leader="none" w:pos="960"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FFECT ON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MPLOYEE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7"/>
          <w:szCs w:val="17"/>
          <w:b w:val="1"/>
          <w:bCs w:val="1"/>
          <w:color w:val="auto"/>
        </w:rPr>
        <w:t>ENEFIT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value of this option will not be included as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1" w:lineRule="exact"/>
        <w:rPr>
          <w:rFonts w:ascii="Times New Roman" w:cs="Times New Roman" w:eastAsia="Times New Roman" w:hAnsi="Times New Roman"/>
          <w:sz w:val="22"/>
          <w:szCs w:val="22"/>
          <w:b w:val="1"/>
          <w:bCs w:val="1"/>
          <w:color w:val="auto"/>
        </w:rPr>
      </w:pPr>
    </w:p>
    <w:p>
      <w:pPr>
        <w:ind w:firstLine="644"/>
        <w:spacing w:after="0" w:line="238" w:lineRule="auto"/>
        <w:tabs>
          <w:tab w:leader="none" w:pos="960"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7"/>
          <w:szCs w:val="17"/>
          <w:b w:val="1"/>
          <w:bCs w:val="1"/>
          <w:color w:val="auto"/>
        </w:rPr>
        <w:t>OTING</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not have voting or any other rights as a stockholder of the Company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76" w:lineRule="exact"/>
        <w:rPr>
          <w:rFonts w:ascii="Times New Roman" w:cs="Times New Roman" w:eastAsia="Times New Roman" w:hAnsi="Times New Roman"/>
          <w:sz w:val="22"/>
          <w:szCs w:val="22"/>
          <w:b w:val="1"/>
          <w:bCs w:val="1"/>
          <w:color w:val="auto"/>
        </w:rPr>
      </w:pPr>
    </w:p>
    <w:p>
      <w:pPr>
        <w:ind w:right="100" w:firstLine="644"/>
        <w:spacing w:after="0" w:line="238" w:lineRule="auto"/>
        <w:tabs>
          <w:tab w:leader="none" w:pos="960"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all or any part of this Option Agreement or the Plan is declared by any court or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84" w:lineRule="exact"/>
        <w:rPr>
          <w:rFonts w:ascii="Times New Roman" w:cs="Times New Roman" w:eastAsia="Times New Roman" w:hAnsi="Times New Roman"/>
          <w:sz w:val="22"/>
          <w:szCs w:val="22"/>
          <w:b w:val="1"/>
          <w:bCs w:val="1"/>
          <w:color w:val="auto"/>
        </w:rPr>
      </w:pPr>
    </w:p>
    <w:p>
      <w:pPr>
        <w:ind w:left="960" w:hanging="316"/>
        <w:spacing w:after="0"/>
        <w:tabs>
          <w:tab w:leader="none" w:pos="960"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7"/>
          <w:szCs w:val="17"/>
          <w:b w:val="1"/>
          <w:bCs w:val="1"/>
          <w:color w:val="auto"/>
        </w:rPr>
        <w:t>ISCELLANEOUS</w:t>
      </w:r>
      <w:r>
        <w:rPr>
          <w:rFonts w:ascii="Times New Roman" w:cs="Times New Roman" w:eastAsia="Times New Roman" w:hAnsi="Times New Roman"/>
          <w:sz w:val="22"/>
          <w:szCs w:val="22"/>
          <w:color w:val="auto"/>
        </w:rPr>
        <w:t>.</w:t>
      </w:r>
    </w:p>
    <w:p>
      <w:pPr>
        <w:spacing w:after="0" w:line="102" w:lineRule="exact"/>
        <w:rPr>
          <w:rFonts w:ascii="Times New Roman" w:cs="Times New Roman" w:eastAsia="Times New Roman" w:hAnsi="Times New Roman"/>
          <w:sz w:val="22"/>
          <w:szCs w:val="22"/>
          <w:b w:val="1"/>
          <w:bCs w:val="1"/>
          <w:color w:val="auto"/>
        </w:rPr>
      </w:pPr>
    </w:p>
    <w:p>
      <w:pPr>
        <w:ind w:right="160" w:firstLine="1281"/>
        <w:spacing w:after="0" w:line="244" w:lineRule="auto"/>
        <w:tabs>
          <w:tab w:leader="none" w:pos="1579" w:val="left"/>
        </w:tabs>
        <w:numPr>
          <w:ilvl w:val="1"/>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73" w:lineRule="exact"/>
        <w:rPr>
          <w:rFonts w:ascii="Times New Roman" w:cs="Times New Roman" w:eastAsia="Times New Roman" w:hAnsi="Times New Roman"/>
          <w:sz w:val="22"/>
          <w:szCs w:val="22"/>
          <w:b w:val="1"/>
          <w:bCs w:val="1"/>
          <w:color w:val="auto"/>
        </w:rPr>
      </w:pPr>
    </w:p>
    <w:p>
      <w:pPr>
        <w:ind w:right="400" w:firstLine="1281"/>
        <w:spacing w:after="0" w:line="258" w:lineRule="auto"/>
        <w:tabs>
          <w:tab w:leader="none" w:pos="1591" w:val="left"/>
        </w:tabs>
        <w:numPr>
          <w:ilvl w:val="1"/>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0" w:name="page211"/>
    <w:bookmarkEnd w:id="210"/>
    <w:p>
      <w:pPr>
        <w:spacing w:after="0" w:line="185" w:lineRule="exact"/>
        <w:rPr>
          <w:sz w:val="20"/>
          <w:szCs w:val="20"/>
          <w:color w:val="auto"/>
        </w:rPr>
      </w:pPr>
    </w:p>
    <w:p>
      <w:pPr>
        <w:jc w:val="both"/>
        <w:ind w:right="460" w:firstLine="1281"/>
        <w:spacing w:after="0" w:line="282" w:lineRule="auto"/>
        <w:tabs>
          <w:tab w:leader="none" w:pos="1566" w:val="left"/>
        </w:tabs>
        <w:numPr>
          <w:ilvl w:val="0"/>
          <w:numId w:val="2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34" w:lineRule="exact"/>
        <w:rPr>
          <w:rFonts w:ascii="Times New Roman" w:cs="Times New Roman" w:eastAsia="Times New Roman" w:hAnsi="Times New Roman"/>
          <w:sz w:val="21"/>
          <w:szCs w:val="21"/>
          <w:b w:val="1"/>
          <w:bCs w:val="1"/>
          <w:color w:val="auto"/>
        </w:rPr>
      </w:pPr>
    </w:p>
    <w:p>
      <w:pPr>
        <w:ind w:right="180" w:firstLine="1281"/>
        <w:spacing w:after="0" w:line="258" w:lineRule="auto"/>
        <w:tabs>
          <w:tab w:leader="none" w:pos="1591" w:val="left"/>
        </w:tabs>
        <w:numPr>
          <w:ilvl w:val="0"/>
          <w:numId w:val="2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Option Agreement will be subject to all applicable laws, rules, and regulations, and to such approvals by any governmental agencies or national securities exchanges as may be required.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20" w:firstLine="1281"/>
        <w:spacing w:after="0" w:line="244" w:lineRule="auto"/>
        <w:tabs>
          <w:tab w:leader="none" w:pos="1566" w:val="left"/>
        </w:tabs>
        <w:numPr>
          <w:ilvl w:val="0"/>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73"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This Option Agreement will be deemed to be signed by you upon the signing by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you of the Grant Notice to which it is attached.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2"/>
          <w:szCs w:val="22"/>
          <w:b w:val="1"/>
          <w:bCs w:val="1"/>
          <w:color w:val="auto"/>
        </w:rPr>
        <w:t xml:space="preserv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2"/>
          <w:szCs w:val="22"/>
          <w:b w:val="1"/>
          <w:bCs w:val="1"/>
          <w:color w:val="auto"/>
        </w:rPr>
        <w:t xml:space="preserv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OTICE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Kyntra Bio,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[Stock Plan Administrator]</w:t>
      </w:r>
    </w:p>
    <w:p>
      <w:pPr>
        <w:spacing w:after="0" w:line="230" w:lineRule="auto"/>
        <w:rPr>
          <w:sz w:val="20"/>
          <w:szCs w:val="20"/>
          <w:color w:val="auto"/>
        </w:rPr>
      </w:pPr>
      <w:r>
        <w:rPr>
          <w:rFonts w:ascii="Times New Roman" w:cs="Times New Roman" w:eastAsia="Times New Roman" w:hAnsi="Times New Roman"/>
          <w:sz w:val="22"/>
          <w:szCs w:val="22"/>
          <w:color w:val="auto"/>
        </w:rPr>
        <w:t>350 Bay Street, Suite 100 #6009</w:t>
      </w:r>
    </w:p>
    <w:p>
      <w:pPr>
        <w:spacing w:after="0" w:line="231" w:lineRule="auto"/>
        <w:rPr>
          <w:sz w:val="20"/>
          <w:szCs w:val="20"/>
          <w:color w:val="auto"/>
        </w:rPr>
      </w:pPr>
      <w:r>
        <w:rPr>
          <w:rFonts w:ascii="Times New Roman" w:cs="Times New Roman" w:eastAsia="Times New Roman" w:hAnsi="Times New Roman"/>
          <w:sz w:val="22"/>
          <w:szCs w:val="22"/>
          <w:color w:val="auto"/>
        </w:rPr>
        <w:t>San Francisco, CA 94133</w:t>
      </w:r>
    </w:p>
    <w:p>
      <w:pPr>
        <w:ind w:left="8600"/>
        <w:spacing w:after="0"/>
        <w:rPr>
          <w:sz w:val="20"/>
          <w:szCs w:val="20"/>
          <w:color w:val="auto"/>
        </w:rPr>
      </w:pPr>
      <w:r>
        <w:rPr>
          <w:rFonts w:ascii="Times New Roman" w:cs="Times New Roman" w:eastAsia="Times New Roman" w:hAnsi="Times New Roman"/>
          <w:sz w:val="22"/>
          <w:szCs w:val="22"/>
          <w:color w:val="auto"/>
        </w:rPr>
        <w:t>Date of Exercise:</w:t>
      </w:r>
    </w:p>
    <w:p>
      <w:pPr>
        <w:spacing w:after="0" w:line="176" w:lineRule="exact"/>
        <w:rPr>
          <w:sz w:val="20"/>
          <w:szCs w:val="20"/>
          <w:color w:val="auto"/>
        </w:rPr>
      </w:pPr>
    </w:p>
    <w:p>
      <w:pPr>
        <w:ind w:right="520" w:firstLine="636"/>
        <w:spacing w:after="0" w:line="264" w:lineRule="auto"/>
        <w:rPr>
          <w:sz w:val="20"/>
          <w:szCs w:val="20"/>
          <w:color w:val="auto"/>
        </w:rPr>
      </w:pPr>
      <w:r>
        <w:rPr>
          <w:rFonts w:ascii="Times New Roman" w:cs="Times New Roman" w:eastAsia="Times New Roman" w:hAnsi="Times New Roman"/>
          <w:sz w:val="22"/>
          <w:szCs w:val="22"/>
          <w:color w:val="auto"/>
        </w:rPr>
        <w:t>This constitutes notice to 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under my stock option that I elect to purchase the below number of shares of Common Stock of the Company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for the price set forth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64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Type of option (check one):</w:t>
            </w:r>
          </w:p>
        </w:tc>
        <w:tc>
          <w:tcPr>
            <w:tcW w:w="1600" w:type="dxa"/>
            <w:vAlign w:val="bottom"/>
          </w:tcPr>
          <w:p>
            <w:pPr>
              <w:ind w:left="340"/>
              <w:spacing w:after="0" w:line="253" w:lineRule="exact"/>
              <w:rPr>
                <w:sz w:val="20"/>
                <w:szCs w:val="20"/>
                <w:color w:val="auto"/>
              </w:rPr>
            </w:pPr>
            <w:r>
              <w:rPr>
                <w:rFonts w:ascii="Times New Roman" w:cs="Times New Roman" w:eastAsia="Times New Roman" w:hAnsi="Times New Roman"/>
                <w:sz w:val="22"/>
                <w:szCs w:val="22"/>
                <w:color w:val="auto"/>
              </w:rPr>
              <w:t xml:space="preserve">Incentive </w:t>
            </w:r>
            <w:r>
              <w:rPr>
                <w:rFonts w:ascii="MS PGothic" w:cs="MS PGothic" w:eastAsia="MS PGothic" w:hAnsi="MS PGothic"/>
                <w:sz w:val="22"/>
                <w:szCs w:val="22"/>
                <w:color w:val="auto"/>
              </w:rPr>
              <w:t>☐</w:t>
            </w:r>
          </w:p>
        </w:tc>
        <w:tc>
          <w:tcPr>
            <w:tcW w:w="620" w:type="dxa"/>
            <w:vAlign w:val="bottom"/>
          </w:tcPr>
          <w:p>
            <w:pPr>
              <w:spacing w:after="0"/>
              <w:rPr>
                <w:sz w:val="24"/>
                <w:szCs w:val="24"/>
                <w:color w:val="auto"/>
              </w:rPr>
            </w:pPr>
          </w:p>
        </w:tc>
        <w:tc>
          <w:tcPr>
            <w:tcW w:w="2540" w:type="dxa"/>
            <w:vAlign w:val="bottom"/>
            <w:gridSpan w:val="3"/>
          </w:tcPr>
          <w:p>
            <w:pPr>
              <w:ind w:left="360"/>
              <w:spacing w:after="0" w:line="253" w:lineRule="exact"/>
              <w:rPr>
                <w:sz w:val="20"/>
                <w:szCs w:val="20"/>
                <w:color w:val="auto"/>
              </w:rPr>
            </w:pPr>
            <w:r>
              <w:rPr>
                <w:rFonts w:ascii="Times New Roman" w:cs="Times New Roman" w:eastAsia="Times New Roman" w:hAnsi="Times New Roman"/>
                <w:sz w:val="22"/>
                <w:szCs w:val="22"/>
                <w:color w:val="auto"/>
              </w:rPr>
              <w:t xml:space="preserve">Nonstatutory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Stock option dated:</w:t>
            </w:r>
          </w:p>
        </w:tc>
        <w:tc>
          <w:tcPr>
            <w:tcW w:w="1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48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color w:val="auto"/>
              </w:rPr>
              <w:t>Number of Shares as to which option is exercised:</w:t>
            </w:r>
          </w:p>
        </w:tc>
        <w:tc>
          <w:tcPr>
            <w:tcW w:w="160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480" w:type="dxa"/>
            <w:vAlign w:val="bottom"/>
            <w:gridSpan w:val="2"/>
            <w:vMerge w:val="continue"/>
          </w:tcPr>
          <w:p>
            <w:pPr>
              <w:spacing w:after="0"/>
              <w:rPr>
                <w:sz w:val="22"/>
                <w:szCs w:val="22"/>
                <w:color w:val="auto"/>
              </w:rPr>
            </w:pPr>
          </w:p>
        </w:tc>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8"/>
        </w:trPr>
        <w:tc>
          <w:tcPr>
            <w:tcW w:w="46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22"/>
          <w:szCs w:val="22"/>
          <w:color w:val="auto"/>
        </w:rPr>
        <w:t>Certificates to be 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-142875</wp:posOffset>
            </wp:positionV>
            <wp:extent cx="6557645" cy="1543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8">
                      <a:extLst>
                        <a:ext uri="{28A0092B-C50C-407E-A947-70E740481C1C}"/>
                      </a:extLst>
                    </a:blip>
                    <a:srcRect/>
                    <a:stretch>
                      <a:fillRect/>
                    </a:stretch>
                  </pic:blipFill>
                  <pic:spPr bwMode="auto">
                    <a:xfrm>
                      <a:off x="0" y="0"/>
                      <a:ext cx="6557645" cy="154305"/>
                    </a:xfrm>
                    <a:prstGeom prst="rect">
                      <a:avLst/>
                    </a:prstGeom>
                    <a:noFill/>
                  </pic:spPr>
                </pic:pic>
              </a:graphicData>
            </a:graphic>
          </wp:anchor>
        </w:drawing>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1860" w:type="dxa"/>
            <w:vAlign w:val="bottom"/>
          </w:tcPr>
          <w:p>
            <w:pPr>
              <w:spacing w:after="0" w:line="20" w:lineRule="exact"/>
              <w:rPr>
                <w:sz w:val="1"/>
                <w:szCs w:val="1"/>
                <w:color w:val="auto"/>
              </w:rPr>
            </w:pPr>
          </w:p>
        </w:tc>
        <w:tc>
          <w:tcPr>
            <w:tcW w:w="4180" w:type="dxa"/>
            <w:vAlign w:val="bottom"/>
            <w:tcBorders>
              <w:right w:val="single" w:sz="8" w:color="auto"/>
            </w:tcBorders>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Total exercise price:</w:t>
            </w:r>
          </w:p>
        </w:tc>
        <w:tc>
          <w:tcPr>
            <w:tcW w:w="4180" w:type="dxa"/>
            <w:vAlign w:val="bottom"/>
          </w:tcPr>
          <w:p>
            <w:pPr>
              <w:spacing w:after="0"/>
              <w:rPr>
                <w:sz w:val="23"/>
                <w:szCs w:val="23"/>
                <w:color w:val="auto"/>
              </w:rPr>
            </w:pPr>
          </w:p>
        </w:tc>
        <w:tc>
          <w:tcPr>
            <w:tcW w:w="1580" w:type="dxa"/>
            <w:vAlign w:val="bottom"/>
          </w:tcPr>
          <w:p>
            <w:pPr>
              <w:jc w:val="right"/>
              <w:ind w:right="1414"/>
              <w:spacing w:after="0"/>
              <w:rPr>
                <w:sz w:val="20"/>
                <w:szCs w:val="20"/>
                <w:color w:val="auto"/>
              </w:rPr>
            </w:pPr>
            <w:r>
              <w:rPr>
                <w:rFonts w:ascii="Times New Roman" w:cs="Times New Roman" w:eastAsia="Times New Roman" w:hAnsi="Times New Roman"/>
                <w:sz w:val="17"/>
                <w:szCs w:val="17"/>
                <w:color w:val="auto"/>
                <w:w w:val="70"/>
              </w:rPr>
              <w:t>$</w:t>
            </w:r>
          </w:p>
        </w:tc>
        <w:tc>
          <w:tcPr>
            <w:tcW w:w="2580" w:type="dxa"/>
            <w:vAlign w:val="bottom"/>
            <w:gridSpan w:val="2"/>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6040" w:type="dxa"/>
            <w:vAlign w:val="bottom"/>
            <w:gridSpan w:val="2"/>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40" w:type="dxa"/>
            <w:vAlign w:val="bottom"/>
            <w:tcBorders>
              <w:right w:val="single" w:sz="8" w:color="CCEEFF"/>
            </w:tcBorders>
            <w:gridSpan w:val="2"/>
            <w:shd w:val="clear" w:color="auto" w:fill="CCEEFF"/>
          </w:tcPr>
          <w:p>
            <w:pPr>
              <w:ind w:left="240"/>
              <w:spacing w:after="0" w:line="243" w:lineRule="exact"/>
              <w:rPr>
                <w:sz w:val="20"/>
                <w:szCs w:val="20"/>
                <w:color w:val="auto"/>
              </w:rPr>
            </w:pPr>
            <w:r>
              <w:rPr>
                <w:rFonts w:ascii="Times New Roman" w:cs="Times New Roman" w:eastAsia="Times New Roman" w:hAnsi="Times New Roman"/>
                <w:sz w:val="22"/>
                <w:szCs w:val="22"/>
                <w:color w:val="auto"/>
              </w:rPr>
              <w:t>Cash payment delivered herewith:</w:t>
            </w:r>
          </w:p>
        </w:tc>
        <w:tc>
          <w:tcPr>
            <w:tcW w:w="1580" w:type="dxa"/>
            <w:vAlign w:val="bottom"/>
            <w:shd w:val="clear" w:color="auto" w:fill="CCEEFF"/>
          </w:tcPr>
          <w:p>
            <w:pPr>
              <w:jc w:val="right"/>
              <w:ind w:right="1414"/>
              <w:spacing w:after="0"/>
              <w:rPr>
                <w:sz w:val="20"/>
                <w:szCs w:val="20"/>
                <w:color w:val="auto"/>
              </w:rPr>
            </w:pPr>
            <w:r>
              <w:rPr>
                <w:rFonts w:ascii="Times New Roman" w:cs="Times New Roman" w:eastAsia="Times New Roman" w:hAnsi="Times New Roman"/>
                <w:sz w:val="17"/>
                <w:szCs w:val="17"/>
                <w:color w:val="auto"/>
                <w:w w:val="70"/>
              </w:rPr>
              <w:t>$</w:t>
            </w:r>
          </w:p>
        </w:tc>
        <w:tc>
          <w:tcPr>
            <w:tcW w:w="2580" w:type="dxa"/>
            <w:vAlign w:val="bottom"/>
            <w:gridSpan w:val="2"/>
            <w:shd w:val="clear" w:color="auto" w:fill="CCEEFF"/>
          </w:tcPr>
          <w:p>
            <w:pPr>
              <w:jc w:val="right"/>
              <w:ind w:right="17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Value of</w:t>
            </w:r>
          </w:p>
        </w:tc>
        <w:tc>
          <w:tcPr>
            <w:tcW w:w="41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Shares delivered herewith:</w:t>
            </w:r>
          </w:p>
        </w:tc>
        <w:tc>
          <w:tcPr>
            <w:tcW w:w="1580" w:type="dxa"/>
            <w:vAlign w:val="bottom"/>
            <w:tcBorders>
              <w:bottom w:val="single" w:sz="8" w:color="auto"/>
            </w:tcBorders>
          </w:tcPr>
          <w:p>
            <w:pPr>
              <w:spacing w:after="0"/>
              <w:rPr>
                <w:sz w:val="18"/>
                <w:szCs w:val="18"/>
                <w:color w:val="auto"/>
              </w:rPr>
            </w:pPr>
          </w:p>
        </w:tc>
        <w:tc>
          <w:tcPr>
            <w:tcW w:w="620" w:type="dxa"/>
            <w:vAlign w:val="bottom"/>
            <w:vMerge w:val="restart"/>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860" w:type="dxa"/>
            <w:vAlign w:val="bottom"/>
            <w:vMerge w:val="continue"/>
          </w:tcPr>
          <w:p>
            <w:pPr>
              <w:spacing w:after="0"/>
              <w:rPr>
                <w:sz w:val="23"/>
                <w:szCs w:val="23"/>
                <w:color w:val="auto"/>
              </w:rPr>
            </w:pPr>
          </w:p>
        </w:tc>
        <w:tc>
          <w:tcPr>
            <w:tcW w:w="4180" w:type="dxa"/>
            <w:vAlign w:val="bottom"/>
            <w:vMerge w:val="continue"/>
          </w:tcPr>
          <w:p>
            <w:pPr>
              <w:spacing w:after="0"/>
              <w:rPr>
                <w:sz w:val="23"/>
                <w:szCs w:val="23"/>
                <w:color w:val="auto"/>
              </w:rPr>
            </w:pPr>
          </w:p>
        </w:tc>
        <w:tc>
          <w:tcPr>
            <w:tcW w:w="1580" w:type="dxa"/>
            <w:vAlign w:val="bottom"/>
          </w:tcPr>
          <w:p>
            <w:pPr>
              <w:jc w:val="right"/>
              <w:ind w:right="14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vMerge w:val="continue"/>
          </w:tcPr>
          <w:p>
            <w:pPr>
              <w:spacing w:after="0"/>
              <w:rPr>
                <w:sz w:val="23"/>
                <w:szCs w:val="23"/>
                <w:color w:val="auto"/>
              </w:rPr>
            </w:pPr>
          </w:p>
        </w:tc>
        <w:tc>
          <w:tcPr>
            <w:tcW w:w="196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w w:val="72"/>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186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22"/>
                <w:szCs w:val="22"/>
                <w:color w:val="auto"/>
              </w:rPr>
              <w:t>Value of</w:t>
            </w:r>
          </w:p>
        </w:tc>
        <w:tc>
          <w:tcPr>
            <w:tcW w:w="4180" w:type="dxa"/>
            <w:vAlign w:val="bottom"/>
            <w:tcBorders>
              <w:right w:val="single" w:sz="8" w:color="CCEEFF"/>
            </w:tcBorders>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pursuant to net exercise:</w:t>
            </w:r>
          </w:p>
        </w:tc>
        <w:tc>
          <w:tcPr>
            <w:tcW w:w="1580" w:type="dxa"/>
            <w:vAlign w:val="bottom"/>
            <w:shd w:val="clear" w:color="auto" w:fill="CCEEFF"/>
          </w:tcPr>
          <w:p>
            <w:pPr>
              <w:jc w:val="right"/>
              <w:ind w:right="1414"/>
              <w:spacing w:after="0"/>
              <w:rPr>
                <w:sz w:val="20"/>
                <w:szCs w:val="20"/>
                <w:color w:val="auto"/>
              </w:rPr>
            </w:pPr>
            <w:r>
              <w:rPr>
                <w:rFonts w:ascii="Times New Roman" w:cs="Times New Roman" w:eastAsia="Times New Roman" w:hAnsi="Times New Roman"/>
                <w:sz w:val="17"/>
                <w:szCs w:val="17"/>
                <w:color w:val="auto"/>
                <w:w w:val="70"/>
              </w:rPr>
              <w:t>$</w:t>
            </w:r>
          </w:p>
        </w:tc>
        <w:tc>
          <w:tcPr>
            <w:tcW w:w="2580" w:type="dxa"/>
            <w:vAlign w:val="bottom"/>
            <w:gridSpan w:val="2"/>
            <w:shd w:val="clear" w:color="auto" w:fill="CCEEFF"/>
          </w:tcPr>
          <w:p>
            <w:pPr>
              <w:jc w:val="right"/>
              <w:ind w:right="17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Regulation T Program (cashless exercise):</w:t>
            </w:r>
          </w:p>
        </w:tc>
        <w:tc>
          <w:tcPr>
            <w:tcW w:w="1580" w:type="dxa"/>
            <w:vAlign w:val="bottom"/>
            <w:tcBorders>
              <w:bottom w:val="single" w:sz="8" w:color="auto"/>
            </w:tcBorders>
          </w:tcPr>
          <w:p>
            <w:pPr>
              <w:spacing w:after="0"/>
              <w:rPr>
                <w:sz w:val="18"/>
                <w:szCs w:val="18"/>
                <w:color w:val="auto"/>
              </w:rPr>
            </w:pPr>
          </w:p>
        </w:tc>
        <w:tc>
          <w:tcPr>
            <w:tcW w:w="620" w:type="dxa"/>
            <w:vAlign w:val="bottom"/>
            <w:vMerge w:val="restart"/>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40" w:type="dxa"/>
            <w:vAlign w:val="bottom"/>
            <w:gridSpan w:val="2"/>
            <w:vMerge w:val="continue"/>
          </w:tcPr>
          <w:p>
            <w:pPr>
              <w:spacing w:after="0"/>
              <w:rPr>
                <w:sz w:val="23"/>
                <w:szCs w:val="23"/>
                <w:color w:val="auto"/>
              </w:rPr>
            </w:pPr>
          </w:p>
        </w:tc>
        <w:tc>
          <w:tcPr>
            <w:tcW w:w="1580" w:type="dxa"/>
            <w:vAlign w:val="bottom"/>
          </w:tcPr>
          <w:p>
            <w:pPr>
              <w:jc w:val="right"/>
              <w:ind w:right="14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vMerge w:val="continue"/>
          </w:tcPr>
          <w:p>
            <w:pPr>
              <w:spacing w:after="0"/>
              <w:rPr>
                <w:sz w:val="23"/>
                <w:szCs w:val="23"/>
                <w:color w:val="auto"/>
              </w:rPr>
            </w:pPr>
          </w:p>
        </w:tc>
        <w:tc>
          <w:tcPr>
            <w:tcW w:w="196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w w:val="72"/>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120650</wp:posOffset>
            </wp:positionV>
            <wp:extent cx="264858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86" w:lineRule="exact"/>
        <w:rPr>
          <w:sz w:val="20"/>
          <w:szCs w:val="20"/>
          <w:color w:val="auto"/>
        </w:rPr>
      </w:pPr>
    </w:p>
    <w:p>
      <w:pPr>
        <w:ind w:right="60" w:firstLine="636"/>
        <w:spacing w:after="0" w:line="236" w:lineRule="auto"/>
        <w:rPr>
          <w:sz w:val="20"/>
          <w:szCs w:val="20"/>
          <w:color w:val="auto"/>
        </w:rPr>
      </w:pPr>
      <w:r>
        <w:rPr>
          <w:rFonts w:ascii="Times New Roman" w:cs="Times New Roman" w:eastAsia="Times New Roman" w:hAnsi="Times New Roman"/>
          <w:sz w:val="22"/>
          <w:szCs w:val="22"/>
          <w:color w:val="auto"/>
        </w:rPr>
        <w:t>By this exercise, I agree (i) to provide such additional documents as you may require pursuant to the terms of the Kyntra Bio, Inc. 2014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319405</wp:posOffset>
            </wp:positionV>
            <wp:extent cx="28460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308610</wp:posOffset>
            </wp:positionV>
            <wp:extent cx="28460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Change in Control Acceleration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PTION</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7"/>
          <w:szCs w:val="17"/>
          <w:b w:val="1"/>
          <w:bCs w:val="1"/>
          <w:color w:val="auto"/>
        </w:rPr>
        <w:t>RANT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OTICE</w:t>
      </w:r>
    </w:p>
    <w:p>
      <w:pPr>
        <w:ind w:left="4120"/>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w:t>
      </w:r>
    </w:p>
    <w:p>
      <w:pPr>
        <w:spacing w:after="0" w:line="17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its 2014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hereby grants to 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2" w:name="page213"/>
    <w:bookmarkEnd w:id="212"/>
    <w:p>
      <w:pPr>
        <w:spacing w:after="0" w:line="18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in the Plan or the Option Agreement. If there is any conflict between the terms in this notice and the Plan, the terms of the Plan will control.</w:t>
      </w:r>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2540</wp:posOffset>
            </wp:positionV>
            <wp:extent cx="2854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8543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1140"/>
        <w:spacing w:after="0" w:line="230" w:lineRule="auto"/>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-5080</wp:posOffset>
            </wp:positionV>
            <wp:extent cx="28543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1140"/>
        <w:spacing w:after="0" w:line="231" w:lineRule="auto"/>
        <w:rPr>
          <w:sz w:val="20"/>
          <w:szCs w:val="20"/>
          <w:color w:val="auto"/>
        </w:rPr>
      </w:pPr>
      <w:r>
        <w:rPr>
          <w:rFonts w:ascii="Times New Roman" w:cs="Times New Roman" w:eastAsia="Times New Roman" w:hAnsi="Times New Roman"/>
          <w:sz w:val="22"/>
          <w:szCs w:val="22"/>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854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1140"/>
        <w:spacing w:after="0" w:line="230" w:lineRule="auto"/>
        <w:rPr>
          <w:sz w:val="20"/>
          <w:szCs w:val="20"/>
          <w:color w:val="auto"/>
        </w:rPr>
      </w:pPr>
      <w:r>
        <w:rPr>
          <w:rFonts w:ascii="Times New Roman" w:cs="Times New Roman" w:eastAsia="Times New Roman" w:hAnsi="Times New Roman"/>
          <w:sz w:val="22"/>
          <w:szCs w:val="22"/>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-5080</wp:posOffset>
            </wp:positionV>
            <wp:extent cx="2854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1140"/>
        <w:spacing w:after="0" w:line="231" w:lineRule="auto"/>
        <w:rPr>
          <w:sz w:val="20"/>
          <w:szCs w:val="20"/>
          <w:color w:val="auto"/>
        </w:rPr>
      </w:pPr>
      <w:r>
        <w:rPr>
          <w:rFonts w:ascii="Times New Roman" w:cs="Times New Roman" w:eastAsia="Times New Roman" w:hAnsi="Times New Roman"/>
          <w:sz w:val="22"/>
          <w:szCs w:val="22"/>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-5715</wp:posOffset>
            </wp:positionV>
            <wp:extent cx="2854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-12065</wp:posOffset>
            </wp:positionV>
            <wp:extent cx="285432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81"/>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Type of Grant:</w:t>
            </w:r>
          </w:p>
        </w:tc>
        <w:tc>
          <w:tcPr>
            <w:tcW w:w="3920" w:type="dxa"/>
            <w:vAlign w:val="bottom"/>
          </w:tcPr>
          <w:p>
            <w:pPr>
              <w:ind w:left="460"/>
              <w:spacing w:after="0" w:line="276"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Incentive Stock Option</w:t>
            </w:r>
            <w:r>
              <w:rPr>
                <w:rFonts w:ascii="Times New Roman" w:cs="Times New Roman" w:eastAsia="Times New Roman" w:hAnsi="Times New Roman"/>
                <w:sz w:val="24"/>
                <w:szCs w:val="24"/>
                <w:color w:val="auto"/>
                <w:vertAlign w:val="superscript"/>
              </w:rPr>
              <w:t>1</w:t>
            </w:r>
          </w:p>
        </w:tc>
        <w:tc>
          <w:tcPr>
            <w:tcW w:w="4940" w:type="dxa"/>
            <w:vAlign w:val="bottom"/>
          </w:tcPr>
          <w:p>
            <w:pPr>
              <w:ind w:left="9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Nonstatutory Stock Option</w:t>
            </w:r>
          </w:p>
        </w:tc>
      </w:tr>
      <w:tr>
        <w:trPr>
          <w:trHeight w:val="481"/>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Exercise Schedule:</w:t>
            </w:r>
          </w:p>
        </w:tc>
        <w:tc>
          <w:tcPr>
            <w:tcW w:w="3920" w:type="dxa"/>
            <w:vAlign w:val="bottom"/>
          </w:tcPr>
          <w:p>
            <w:pPr>
              <w:ind w:left="46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Same as Vesting Schedule</w:t>
            </w:r>
          </w:p>
        </w:tc>
        <w:tc>
          <w:tcPr>
            <w:tcW w:w="4940" w:type="dxa"/>
            <w:vAlign w:val="bottom"/>
          </w:tcPr>
          <w:p>
            <w:pPr>
              <w:ind w:left="9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Early Exercise Permitted</w:t>
            </w:r>
          </w:p>
        </w:tc>
      </w:tr>
      <w:tr>
        <w:trPr>
          <w:trHeight w:val="415"/>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 Schedule:</w:t>
            </w:r>
          </w:p>
        </w:tc>
        <w:tc>
          <w:tcPr>
            <w:tcW w:w="8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7"/>
              </w:rPr>
              <w:t xml:space="preserve">[Subject to Section 9 of the Option Agreement, one-fourth </w:t>
            </w:r>
            <w:r>
              <w:rPr>
                <w:rFonts w:ascii="Times New Roman" w:cs="Times New Roman" w:eastAsia="Times New Roman" w:hAnsi="Times New Roman"/>
                <w:sz w:val="22"/>
                <w:szCs w:val="22"/>
                <w:b w:val="1"/>
                <w:bCs w:val="1"/>
                <w:color w:val="auto"/>
                <w:w w:val="97"/>
              </w:rPr>
              <w:t>(</w:t>
            </w:r>
            <w:r>
              <w:rPr>
                <w:rFonts w:ascii="Times New Roman" w:cs="Times New Roman" w:eastAsia="Times New Roman" w:hAnsi="Times New Roman"/>
                <w:sz w:val="22"/>
                <w:szCs w:val="22"/>
                <w:color w:val="auto"/>
                <w:w w:val="97"/>
              </w:rPr>
              <w:t>1/4</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22"/>
                <w:szCs w:val="22"/>
                <w:color w:val="auto"/>
                <w:w w:val="97"/>
              </w:rPr>
              <w:t>) of the shares vest one year after</w:t>
            </w:r>
          </w:p>
        </w:tc>
      </w:tr>
      <w:tr>
        <w:trPr>
          <w:trHeight w:val="243"/>
        </w:trPr>
        <w:tc>
          <w:tcPr>
            <w:tcW w:w="2200" w:type="dxa"/>
            <w:vAlign w:val="bottom"/>
          </w:tcPr>
          <w:p>
            <w:pPr>
              <w:spacing w:after="0"/>
              <w:rPr>
                <w:sz w:val="21"/>
                <w:szCs w:val="21"/>
                <w:color w:val="auto"/>
              </w:rPr>
            </w:pPr>
          </w:p>
        </w:tc>
        <w:tc>
          <w:tcPr>
            <w:tcW w:w="886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the Vesting Commencement Date; the balance of the shares vest in a series of twelve (12)</w:t>
            </w:r>
          </w:p>
        </w:tc>
      </w:tr>
      <w:tr>
        <w:trPr>
          <w:trHeight w:val="243"/>
        </w:trPr>
        <w:tc>
          <w:tcPr>
            <w:tcW w:w="2200" w:type="dxa"/>
            <w:vAlign w:val="bottom"/>
          </w:tcPr>
          <w:p>
            <w:pPr>
              <w:spacing w:after="0"/>
              <w:rPr>
                <w:sz w:val="21"/>
                <w:szCs w:val="21"/>
                <w:color w:val="auto"/>
              </w:rPr>
            </w:pPr>
          </w:p>
        </w:tc>
        <w:tc>
          <w:tcPr>
            <w:tcW w:w="886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successive substantially equal quarterly installments measured from the first anniversary of the</w:t>
            </w:r>
          </w:p>
        </w:tc>
      </w:tr>
      <w:tr>
        <w:trPr>
          <w:trHeight w:val="243"/>
        </w:trPr>
        <w:tc>
          <w:tcPr>
            <w:tcW w:w="2200" w:type="dxa"/>
            <w:vAlign w:val="bottom"/>
          </w:tcPr>
          <w:p>
            <w:pPr>
              <w:spacing w:after="0"/>
              <w:rPr>
                <w:sz w:val="21"/>
                <w:szCs w:val="21"/>
                <w:color w:val="auto"/>
              </w:rPr>
            </w:pPr>
          </w:p>
        </w:tc>
        <w:tc>
          <w:tcPr>
            <w:tcW w:w="886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Vesting Commencement Date, subject to Optionholder’s Continuous Service as of each such</w:t>
            </w:r>
          </w:p>
        </w:tc>
      </w:tr>
      <w:tr>
        <w:trPr>
          <w:trHeight w:val="282"/>
        </w:trPr>
        <w:tc>
          <w:tcPr>
            <w:tcW w:w="2200" w:type="dxa"/>
            <w:vAlign w:val="bottom"/>
          </w:tcPr>
          <w:p>
            <w:pPr>
              <w:spacing w:after="0"/>
              <w:rPr>
                <w:sz w:val="24"/>
                <w:szCs w:val="24"/>
                <w:color w:val="auto"/>
              </w:rPr>
            </w:pPr>
          </w:p>
        </w:tc>
        <w:tc>
          <w:tcPr>
            <w:tcW w:w="39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vesting date.]</w:t>
            </w:r>
          </w:p>
        </w:tc>
        <w:tc>
          <w:tcPr>
            <w:tcW w:w="4940" w:type="dxa"/>
            <w:vAlign w:val="bottom"/>
          </w:tcPr>
          <w:p>
            <w:pPr>
              <w:spacing w:after="0"/>
              <w:rPr>
                <w:sz w:val="24"/>
                <w:szCs w:val="24"/>
                <w:color w:val="auto"/>
              </w:rPr>
            </w:pPr>
          </w:p>
        </w:tc>
      </w:tr>
      <w:tr>
        <w:trPr>
          <w:trHeight w:val="486"/>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8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By one or a combination of the following items (described in the Option Agreement):</w:t>
            </w:r>
          </w:p>
        </w:tc>
      </w:tr>
    </w:tbl>
    <w:p>
      <w:pPr>
        <w:spacing w:after="0" w:line="204" w:lineRule="exact"/>
        <w:rPr>
          <w:sz w:val="20"/>
          <w:szCs w:val="20"/>
          <w:color w:val="auto"/>
        </w:rPr>
      </w:pPr>
    </w:p>
    <w:p>
      <w:pPr>
        <w:jc w:val="both"/>
        <w:ind w:left="2660" w:right="2320"/>
        <w:spacing w:after="0" w:line="251" w:lineRule="auto"/>
        <w:rPr>
          <w:sz w:val="20"/>
          <w:szCs w:val="20"/>
          <w:color w:val="auto"/>
        </w:rPr>
      </w:pPr>
      <w:r>
        <w:rPr>
          <w:rFonts w:ascii="Wingdings" w:cs="Wingdings" w:eastAsia="Wingdings" w:hAnsi="Wingdings"/>
          <w:sz w:val="21"/>
          <w:szCs w:val="21"/>
          <w:b w:val="1"/>
          <w:bCs w:val="1"/>
          <w:color w:val="auto"/>
        </w:rPr>
        <w:t xml:space="preserve">x </w:t>
      </w:r>
      <w:r>
        <w:rPr>
          <w:rFonts w:ascii="Times New Roman" w:cs="Times New Roman" w:eastAsia="Times New Roman" w:hAnsi="Times New Roman"/>
          <w:sz w:val="21"/>
          <w:szCs w:val="21"/>
          <w:color w:val="auto"/>
        </w:rPr>
        <w:t>By cash, check, bank draft or money order payable to the Company</w:t>
      </w:r>
      <w:r>
        <w:rPr>
          <w:rFonts w:ascii="Wingdings" w:cs="Wingdings" w:eastAsia="Wingdings" w:hAnsi="Wingdings"/>
          <w:sz w:val="21"/>
          <w:szCs w:val="21"/>
          <w:b w:val="1"/>
          <w:bCs w:val="1"/>
          <w:color w:val="auto"/>
        </w:rPr>
        <w:t xml:space="preserve"> x </w:t>
      </w:r>
      <w:r>
        <w:rPr>
          <w:rFonts w:ascii="Times New Roman" w:cs="Times New Roman" w:eastAsia="Times New Roman" w:hAnsi="Times New Roman"/>
          <w:sz w:val="21"/>
          <w:szCs w:val="21"/>
          <w:color w:val="auto"/>
        </w:rPr>
        <w:t>Pursuant to a Regulation T Program if the shares are publicly traded</w:t>
      </w:r>
      <w:r>
        <w:rPr>
          <w:rFonts w:ascii="Wingdings" w:cs="Wingdings" w:eastAsia="Wingdings" w:hAnsi="Wingdings"/>
          <w:sz w:val="21"/>
          <w:szCs w:val="21"/>
          <w:b w:val="1"/>
          <w:bCs w:val="1"/>
          <w:color w:val="auto"/>
        </w:rPr>
        <w:t xml:space="preserve"> x </w:t>
      </w:r>
      <w:r>
        <w:rPr>
          <w:rFonts w:ascii="Times New Roman" w:cs="Times New Roman" w:eastAsia="Times New Roman" w:hAnsi="Times New Roman"/>
          <w:sz w:val="21"/>
          <w:szCs w:val="21"/>
          <w:color w:val="auto"/>
        </w:rPr>
        <w:t>By delivery of already-owned shares if the shares are publicly traded</w:t>
      </w:r>
    </w:p>
    <w:p>
      <w:pPr>
        <w:spacing w:after="0" w:line="1" w:lineRule="exact"/>
        <w:rPr>
          <w:sz w:val="20"/>
          <w:szCs w:val="20"/>
          <w:color w:val="auto"/>
        </w:rPr>
      </w:pPr>
    </w:p>
    <w:p>
      <w:pPr>
        <w:ind w:left="2660" w:right="900" w:hanging="6"/>
        <w:spacing w:after="0" w:line="243" w:lineRule="auto"/>
        <w:tabs>
          <w:tab w:leader="none" w:pos="2903" w:val="left"/>
        </w:tabs>
        <w:numPr>
          <w:ilvl w:val="0"/>
          <w:numId w:val="23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If and only to the extent this option is a Nonstatutory Stock Option, and subject to the Company’s consent at the time of exercise, by a “net exercise” arrangement</w:t>
      </w:r>
    </w:p>
    <w:p>
      <w:pPr>
        <w:spacing w:after="0" w:line="1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Additional Terms/Acknowledgements: </w:t>
      </w:r>
      <w:r>
        <w:rPr>
          <w:rFonts w:ascii="Times New Roman" w:cs="Times New Roman" w:eastAsia="Times New Roman" w:hAnsi="Times New Roman"/>
          <w:sz w:val="22"/>
          <w:szCs w:val="22"/>
          <w:color w:val="auto"/>
        </w:rPr>
        <w:t>Optionholder acknowledges receipt of, and understands and agrees to, this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Grant Notice, the 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(ii) any compensation recovery policy that is adopted by the Company or is otherwise required by applicable law and (iii) any written employment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3" w:name="page214"/>
    <w:bookmarkEnd w:id="21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severance arrangement that would provide for vesting acceleration of this option upon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80" w:right="20" w:hanging="572"/>
        <w:spacing w:after="0" w:line="237" w:lineRule="auto"/>
        <w:tabs>
          <w:tab w:leader="none" w:pos="580" w:val="left"/>
        </w:tabs>
        <w:numPr>
          <w:ilvl w:val="0"/>
          <w:numId w:val="2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2"/>
          <w:szCs w:val="22"/>
          <w:color w:val="auto"/>
        </w:rPr>
        <w:t xml:space="preserve">If this is an Incentive Stock Option, it (plus other outstanding Incentive Stock Options) cannot be first </w:t>
      </w:r>
      <w:r>
        <w:rPr>
          <w:rFonts w:ascii="Times New Roman" w:cs="Times New Roman" w:eastAsia="Times New Roman" w:hAnsi="Times New Roman"/>
          <w:sz w:val="22"/>
          <w:szCs w:val="22"/>
          <w:i w:val="1"/>
          <w:iCs w:val="1"/>
          <w:color w:val="auto"/>
        </w:rPr>
        <w:t>exercisable</w:t>
      </w:r>
      <w:r>
        <w:rPr>
          <w:rFonts w:ascii="Times New Roman" w:cs="Times New Roman" w:eastAsia="Times New Roman" w:hAnsi="Times New Roman"/>
          <w:sz w:val="22"/>
          <w:szCs w:val="22"/>
          <w:color w:val="auto"/>
        </w:rPr>
        <w:t xml:space="preserve"> for more than $100,000 in value (measured by exercise price) in any calendar year. Any excess over $100,000 is a Nonstatutory Stock Option.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tc>
        <w:tc>
          <w:tcPr>
            <w:tcW w:w="5920" w:type="dxa"/>
            <w:vAlign w:val="bottom"/>
            <w:gridSpan w:val="2"/>
          </w:tcPr>
          <w:p>
            <w:pPr>
              <w:ind w:left="360"/>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PTIONHOLDER</w:t>
            </w: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474"/>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10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20" w:type="dxa"/>
            <w:vAlign w:val="bottom"/>
            <w:tcBorders>
              <w:top w:val="single" w:sz="8" w:color="auto"/>
              <w:bottom w:val="single" w:sz="8" w:color="auto"/>
            </w:tcBorders>
            <w:vMerge w:val="restart"/>
          </w:tcPr>
          <w:p>
            <w:pPr>
              <w:ind w:left="1900"/>
              <w:spacing w:after="0"/>
              <w:rPr>
                <w:sz w:val="20"/>
                <w:szCs w:val="20"/>
                <w:color w:val="auto"/>
              </w:rPr>
            </w:pPr>
            <w:r>
              <w:rPr>
                <w:rFonts w:ascii="Times New Roman" w:cs="Times New Roman" w:eastAsia="Times New Roman" w:hAnsi="Times New Roman"/>
                <w:sz w:val="22"/>
                <w:szCs w:val="22"/>
                <w:color w:val="auto"/>
              </w:rPr>
              <w:t>Signature</w:t>
            </w:r>
          </w:p>
        </w:tc>
        <w:tc>
          <w:tcPr>
            <w:tcW w:w="104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4620" w:type="dxa"/>
            <w:vAlign w:val="bottom"/>
            <w:vMerge w:val="continue"/>
          </w:tcPr>
          <w:p>
            <w:pPr>
              <w:spacing w:after="0"/>
              <w:rPr>
                <w:sz w:val="22"/>
                <w:szCs w:val="22"/>
                <w:color w:val="auto"/>
              </w:rPr>
            </w:pPr>
          </w:p>
        </w:tc>
        <w:tc>
          <w:tcPr>
            <w:tcW w:w="1040" w:type="dxa"/>
            <w:vAlign w:val="bottom"/>
          </w:tcPr>
          <w:p>
            <w:pPr>
              <w:spacing w:after="0"/>
              <w:rPr>
                <w:sz w:val="22"/>
                <w:szCs w:val="22"/>
                <w:color w:val="auto"/>
              </w:rPr>
            </w:pPr>
          </w:p>
        </w:tc>
        <w:tc>
          <w:tcPr>
            <w:tcW w:w="488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Signature</w:t>
            </w:r>
          </w:p>
        </w:tc>
        <w:tc>
          <w:tcPr>
            <w:tcW w:w="0" w:type="dxa"/>
            <w:vAlign w:val="bottom"/>
          </w:tcPr>
          <w:p>
            <w:pPr>
              <w:spacing w:after="0"/>
              <w:rPr>
                <w:sz w:val="1"/>
                <w:szCs w:val="1"/>
                <w:color w:val="auto"/>
              </w:rPr>
            </w:pPr>
          </w:p>
        </w:tc>
      </w:tr>
      <w:tr>
        <w:trPr>
          <w:trHeight w:val="460"/>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50"/>
        </w:trPr>
        <w:tc>
          <w:tcPr>
            <w:tcW w:w="7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Date:</w:t>
            </w:r>
          </w:p>
        </w:tc>
        <w:tc>
          <w:tcPr>
            <w:tcW w:w="4620" w:type="dxa"/>
            <w:vAlign w:val="bottom"/>
            <w:tcBorders>
              <w:top w:val="single" w:sz="8" w:color="auto"/>
              <w:bottom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4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TTACHMENTS</w:t>
      </w:r>
      <w:r>
        <w:rPr>
          <w:rFonts w:ascii="Times New Roman" w:cs="Times New Roman" w:eastAsia="Times New Roman" w:hAnsi="Times New Roman"/>
          <w:sz w:val="22"/>
          <w:szCs w:val="22"/>
          <w:color w:val="auto"/>
        </w:rPr>
        <w:t>: Option Agreement, 2014 Equity Incentive Plan and Notice of Exercise</w:t>
      </w:r>
    </w:p>
    <w:p>
      <w:pPr>
        <w:spacing w:after="0" w:line="1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PTION 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ONSTATUTORY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PTION</w:t>
      </w:r>
      <w:r>
        <w:rPr>
          <w:rFonts w:ascii="Times New Roman" w:cs="Times New Roman" w:eastAsia="Times New Roman" w:hAnsi="Times New Roman"/>
          <w:sz w:val="22"/>
          <w:szCs w:val="22"/>
          <w:b w:val="1"/>
          <w:bCs w:val="1"/>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Pursuant to your Stock Option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this Option Agreement, Kyntra Bio, Inc.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an option under its 2014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to purchase the number of shares of the</w:t>
      </w:r>
    </w:p>
    <w:p>
      <w:pPr>
        <w:spacing w:after="0" w:line="231" w:lineRule="auto"/>
        <w:rPr>
          <w:sz w:val="20"/>
          <w:szCs w:val="20"/>
          <w:color w:val="auto"/>
        </w:rPr>
      </w:pPr>
      <w:r>
        <w:rPr>
          <w:rFonts w:ascii="Times New Roman" w:cs="Times New Roman" w:eastAsia="Times New Roman" w:hAnsi="Times New Roman"/>
          <w:sz w:val="22"/>
          <w:szCs w:val="22"/>
          <w:color w:val="auto"/>
        </w:rPr>
        <w:t>Company’s Common Stock indicated in your Grant Notice at the exercise price indicated in your Grant Notice. The option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granted to you effective as of the date of grant set forth in the Grant Notice (the “</w:t>
      </w:r>
      <w:r>
        <w:rPr>
          <w:rFonts w:ascii="Times New Roman" w:cs="Times New Roman" w:eastAsia="Times New Roman" w:hAnsi="Times New Roman"/>
          <w:sz w:val="21"/>
          <w:szCs w:val="21"/>
          <w:b w:val="1"/>
          <w:bCs w:val="1"/>
          <w:i w:val="1"/>
          <w:iCs w:val="1"/>
          <w:color w:val="auto"/>
        </w:rPr>
        <w:t>Date of Grant</w:t>
      </w:r>
      <w:r>
        <w:rPr>
          <w:rFonts w:ascii="Times New Roman" w:cs="Times New Roman" w:eastAsia="Times New Roman" w:hAnsi="Times New Roman"/>
          <w:sz w:val="21"/>
          <w:szCs w:val="21"/>
          <w:color w:val="auto"/>
        </w:rPr>
        <w:t>”). If there is any conflict between</w:t>
      </w:r>
    </w:p>
    <w:p>
      <w:pPr>
        <w:spacing w:after="0" w:line="231" w:lineRule="auto"/>
        <w:rPr>
          <w:sz w:val="20"/>
          <w:szCs w:val="20"/>
          <w:color w:val="auto"/>
        </w:rPr>
      </w:pPr>
      <w:r>
        <w:rPr>
          <w:rFonts w:ascii="Times New Roman" w:cs="Times New Roman" w:eastAsia="Times New Roman" w:hAnsi="Times New Roman"/>
          <w:sz w:val="22"/>
          <w:szCs w:val="22"/>
          <w:color w:val="auto"/>
        </w:rPr>
        <w:t>the terms in this Option Agreement and the Plan, the terms of the Plan will control. Capitalized terms not explicitly defined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Option Agreement or in the Grant Notice but defined in the Plan will have the same definitions as in the Plan.</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details of your option, in addition to those set forth in the Grant Notice and the Plan,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81" w:lineRule="exact"/>
        <w:rPr>
          <w:sz w:val="20"/>
          <w:szCs w:val="20"/>
          <w:color w:val="auto"/>
        </w:rPr>
      </w:pPr>
    </w:p>
    <w:p>
      <w:pPr>
        <w:ind w:left="-20" w:right="200" w:firstLine="644"/>
        <w:spacing w:after="0" w:line="262" w:lineRule="auto"/>
        <w:tabs>
          <w:tab w:leader="none" w:pos="832"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7"/>
          <w:szCs w:val="17"/>
          <w:b w:val="1"/>
          <w:bCs w:val="1"/>
          <w:color w:val="auto"/>
        </w:rPr>
        <w:t>ESTING</w:t>
      </w:r>
      <w:r>
        <w:rPr>
          <w:rFonts w:ascii="Times New Roman" w:cs="Times New Roman" w:eastAsia="Times New Roman" w:hAnsi="Times New Roman"/>
          <w:sz w:val="22"/>
          <w:szCs w:val="22"/>
          <w:color w:val="auto"/>
        </w:rPr>
        <w:t>. Subject to the provisions contained herein, your option will vest as provided in your Grant Notice.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cease upon the termination of your Continuous Service.</w:t>
      </w:r>
    </w:p>
    <w:p>
      <w:pPr>
        <w:spacing w:after="0" w:line="149" w:lineRule="exact"/>
        <w:rPr>
          <w:rFonts w:ascii="Times New Roman" w:cs="Times New Roman" w:eastAsia="Times New Roman" w:hAnsi="Times New Roman"/>
          <w:sz w:val="22"/>
          <w:szCs w:val="22"/>
          <w:b w:val="1"/>
          <w:bCs w:val="1"/>
          <w:color w:val="auto"/>
        </w:rPr>
      </w:pPr>
    </w:p>
    <w:p>
      <w:pPr>
        <w:ind w:left="-20" w:right="420" w:firstLine="644"/>
        <w:spacing w:after="0" w:line="262" w:lineRule="auto"/>
        <w:tabs>
          <w:tab w:leader="none" w:pos="832"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UMBER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HARES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RICE</w:t>
      </w:r>
      <w:r>
        <w:rPr>
          <w:rFonts w:ascii="Times New Roman" w:cs="Times New Roman" w:eastAsia="Times New Roman" w:hAnsi="Times New Roman"/>
          <w:sz w:val="22"/>
          <w:szCs w:val="22"/>
          <w:color w:val="auto"/>
        </w:rPr>
        <w:t>. The number of shares of Common Stock subject to your option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exercise price per share in your Grant Notice will be adjusted for Capitalization Adjustments.</w:t>
      </w:r>
    </w:p>
    <w:p>
      <w:pPr>
        <w:spacing w:after="0" w:line="149" w:lineRule="exact"/>
        <w:rPr>
          <w:rFonts w:ascii="Times New Roman" w:cs="Times New Roman" w:eastAsia="Times New Roman" w:hAnsi="Times New Roman"/>
          <w:sz w:val="22"/>
          <w:szCs w:val="22"/>
          <w:b w:val="1"/>
          <w:bCs w:val="1"/>
          <w:color w:val="auto"/>
        </w:rPr>
      </w:pPr>
    </w:p>
    <w:p>
      <w:pPr>
        <w:ind w:left="-20" w:right="80" w:firstLine="644"/>
        <w:spacing w:after="0" w:line="235" w:lineRule="auto"/>
        <w:tabs>
          <w:tab w:leader="none" w:pos="832"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ESTRICTION FOR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XEMPT</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MPLOYEES</w:t>
      </w:r>
      <w:r>
        <w:rPr>
          <w:rFonts w:ascii="Times New Roman" w:cs="Times New Roman" w:eastAsia="Times New Roman" w:hAnsi="Times New Roman"/>
          <w:sz w:val="22"/>
          <w:szCs w:val="22"/>
          <w:color w:val="auto"/>
        </w:rPr>
        <w:t>. If you are an Employee eligible for overtime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under the Fair Labor Standards Act of 1938, as amended (that is, a “</w:t>
      </w:r>
      <w:r>
        <w:rPr>
          <w:rFonts w:ascii="Times New Roman" w:cs="Times New Roman" w:eastAsia="Times New Roman" w:hAnsi="Times New Roman"/>
          <w:sz w:val="22"/>
          <w:szCs w:val="22"/>
          <w:b w:val="1"/>
          <w:bCs w:val="1"/>
          <w:i w:val="1"/>
          <w:iCs w:val="1"/>
          <w:color w:val="auto"/>
        </w:rPr>
        <w:t>Non-Exempt Employee</w:t>
      </w:r>
      <w:r>
        <w:rPr>
          <w:rFonts w:ascii="Times New Roman" w:cs="Times New Roman" w:eastAsia="Times New Roman" w:hAnsi="Times New Roman"/>
          <w:sz w:val="22"/>
          <w:szCs w:val="22"/>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78" w:lineRule="exact"/>
        <w:rPr>
          <w:rFonts w:ascii="Times New Roman" w:cs="Times New Roman" w:eastAsia="Times New Roman" w:hAnsi="Times New Roman"/>
          <w:sz w:val="22"/>
          <w:szCs w:val="22"/>
          <w:b w:val="1"/>
          <w:bCs w:val="1"/>
          <w:color w:val="auto"/>
        </w:rPr>
      </w:pPr>
    </w:p>
    <w:p>
      <w:pPr>
        <w:ind w:left="-20" w:right="300" w:firstLine="644"/>
        <w:spacing w:after="0" w:line="241" w:lineRule="auto"/>
        <w:tabs>
          <w:tab w:leader="none" w:pos="832"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XERCISE PRIOR TO</w:t>
      </w:r>
      <w:r>
        <w:rPr>
          <w:rFonts w:ascii="Times New Roman" w:cs="Times New Roman" w:eastAsia="Times New Roman" w:hAnsi="Times New Roman"/>
          <w:sz w:val="22"/>
          <w:szCs w:val="22"/>
          <w:b w:val="1"/>
          <w:bCs w:val="1"/>
          <w:color w:val="auto"/>
        </w:rPr>
        <w:t xml:space="preserve"> V</w:t>
      </w:r>
      <w:r>
        <w:rPr>
          <w:rFonts w:ascii="Times New Roman" w:cs="Times New Roman" w:eastAsia="Times New Roman" w:hAnsi="Times New Roman"/>
          <w:sz w:val="17"/>
          <w:szCs w:val="17"/>
          <w:b w:val="1"/>
          <w:bCs w:val="1"/>
          <w:color w:val="auto"/>
        </w:rPr>
        <w:t>ESTING</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ARLY</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If permitted in your Grant Notice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Schedule” 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3232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 w:right="400" w:firstLine="1281"/>
        <w:spacing w:after="0" w:line="258" w:lineRule="auto"/>
        <w:tabs>
          <w:tab w:leader="none" w:pos="1559" w:val="left"/>
        </w:tabs>
        <w:numPr>
          <w:ilvl w:val="1"/>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partial exercise of your option will be deemed to cover first vested shares of Common Stock and then the earliest vesting installment of unvested shares of Common Stock;</w:t>
      </w:r>
    </w:p>
    <w:p>
      <w:pPr>
        <w:spacing w:after="0" w:line="158" w:lineRule="exact"/>
        <w:rPr>
          <w:rFonts w:ascii="Times New Roman" w:cs="Times New Roman" w:eastAsia="Times New Roman" w:hAnsi="Times New Roman"/>
          <w:sz w:val="22"/>
          <w:szCs w:val="22"/>
          <w:b w:val="1"/>
          <w:bCs w:val="1"/>
          <w:color w:val="auto"/>
        </w:rPr>
      </w:pPr>
    </w:p>
    <w:p>
      <w:pPr>
        <w:ind w:left="-20" w:right="360" w:firstLine="1281"/>
        <w:spacing w:after="0" w:line="244" w:lineRule="auto"/>
        <w:tabs>
          <w:tab w:leader="none" w:pos="1571" w:val="left"/>
        </w:tabs>
        <w:numPr>
          <w:ilvl w:val="1"/>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173" w:lineRule="exact"/>
        <w:rPr>
          <w:rFonts w:ascii="Times New Roman" w:cs="Times New Roman" w:eastAsia="Times New Roman" w:hAnsi="Times New Roman"/>
          <w:sz w:val="22"/>
          <w:szCs w:val="22"/>
          <w:b w:val="1"/>
          <w:bCs w:val="1"/>
          <w:color w:val="auto"/>
        </w:rPr>
      </w:pPr>
    </w:p>
    <w:p>
      <w:pPr>
        <w:ind w:left="-20" w:right="200" w:firstLine="1281"/>
        <w:spacing w:after="0" w:line="258" w:lineRule="auto"/>
        <w:tabs>
          <w:tab w:leader="none" w:pos="1546" w:val="left"/>
        </w:tabs>
        <w:numPr>
          <w:ilvl w:val="1"/>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will enter into the Company’s form of Early Exercise Stock Purchase Agreement with a vesting schedule that will result in the same vesting as if no early exercise had occurred; and</w:t>
      </w:r>
    </w:p>
    <w:p>
      <w:pPr>
        <w:spacing w:after="0" w:line="158" w:lineRule="exact"/>
        <w:rPr>
          <w:rFonts w:ascii="Times New Roman" w:cs="Times New Roman" w:eastAsia="Times New Roman" w:hAnsi="Times New Roman"/>
          <w:sz w:val="22"/>
          <w:szCs w:val="22"/>
          <w:b w:val="1"/>
          <w:bCs w:val="1"/>
          <w:color w:val="auto"/>
        </w:rPr>
      </w:pPr>
    </w:p>
    <w:p>
      <w:pPr>
        <w:ind w:left="-20" w:firstLine="1281"/>
        <w:spacing w:after="0" w:line="238" w:lineRule="auto"/>
        <w:tabs>
          <w:tab w:leader="none" w:pos="1571" w:val="left"/>
        </w:tabs>
        <w:numPr>
          <w:ilvl w:val="1"/>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172" w:lineRule="exact"/>
        <w:rPr>
          <w:rFonts w:ascii="Times New Roman" w:cs="Times New Roman" w:eastAsia="Times New Roman" w:hAnsi="Times New Roman"/>
          <w:sz w:val="22"/>
          <w:szCs w:val="22"/>
          <w:b w:val="1"/>
          <w:bCs w:val="1"/>
          <w:color w:val="auto"/>
        </w:rPr>
      </w:pPr>
    </w:p>
    <w:p>
      <w:pPr>
        <w:ind w:left="-20" w:right="200" w:firstLine="644"/>
        <w:spacing w:after="0" w:line="262" w:lineRule="auto"/>
        <w:tabs>
          <w:tab w:leader="none" w:pos="832"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7"/>
          <w:szCs w:val="17"/>
          <w:b w:val="1"/>
          <w:bCs w:val="1"/>
          <w:color w:val="auto"/>
        </w:rPr>
        <w:t>ETHOD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AYMENT</w:t>
      </w:r>
      <w:r>
        <w:rPr>
          <w:rFonts w:ascii="Times New Roman" w:cs="Times New Roman" w:eastAsia="Times New Roman" w:hAnsi="Times New Roman"/>
          <w:sz w:val="22"/>
          <w:szCs w:val="22"/>
          <w:color w:val="auto"/>
        </w:rPr>
        <w:t>. You must pay the full amount of the exercise price for the shares you wish to exercise.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pay the exercise price in cash or by check, bank draft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856615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15" w:name="page216"/>
    <w:bookmarkEnd w:id="215"/>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money order payable to the Company or in any other manner permitted by your Grant Notice, which may include one or more of the following:</w:t>
      </w:r>
    </w:p>
    <w:p>
      <w:pPr>
        <w:spacing w:after="0" w:line="158" w:lineRule="exact"/>
        <w:rPr>
          <w:sz w:val="20"/>
          <w:szCs w:val="20"/>
          <w:color w:val="auto"/>
        </w:rPr>
      </w:pPr>
    </w:p>
    <w:p>
      <w:pPr>
        <w:ind w:right="40" w:firstLine="1281"/>
        <w:spacing w:after="0" w:line="238" w:lineRule="auto"/>
        <w:tabs>
          <w:tab w:leader="none" w:pos="1579" w:val="left"/>
        </w:tabs>
        <w:numPr>
          <w:ilvl w:val="0"/>
          <w:numId w:val="2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76" w:lineRule="exact"/>
        <w:rPr>
          <w:rFonts w:ascii="Times New Roman" w:cs="Times New Roman" w:eastAsia="Times New Roman" w:hAnsi="Times New Roman"/>
          <w:sz w:val="22"/>
          <w:szCs w:val="22"/>
          <w:b w:val="1"/>
          <w:bCs w:val="1"/>
          <w:color w:val="auto"/>
        </w:rPr>
      </w:pPr>
    </w:p>
    <w:p>
      <w:pPr>
        <w:ind w:firstLine="1281"/>
        <w:spacing w:after="0" w:line="235" w:lineRule="auto"/>
        <w:tabs>
          <w:tab w:leader="none" w:pos="1591" w:val="left"/>
        </w:tabs>
        <w:numPr>
          <w:ilvl w:val="0"/>
          <w:numId w:val="2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83" w:lineRule="exact"/>
        <w:rPr>
          <w:rFonts w:ascii="Times New Roman" w:cs="Times New Roman" w:eastAsia="Times New Roman" w:hAnsi="Times New Roman"/>
          <w:sz w:val="22"/>
          <w:szCs w:val="22"/>
          <w:b w:val="1"/>
          <w:bCs w:val="1"/>
          <w:color w:val="auto"/>
        </w:rPr>
      </w:pPr>
    </w:p>
    <w:p>
      <w:pPr>
        <w:ind w:right="20" w:firstLine="1281"/>
        <w:spacing w:after="0" w:line="239" w:lineRule="auto"/>
        <w:tabs>
          <w:tab w:leader="none" w:pos="1566" w:val="left"/>
        </w:tabs>
        <w:numPr>
          <w:ilvl w:val="0"/>
          <w:numId w:val="2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76" w:lineRule="exact"/>
        <w:rPr>
          <w:sz w:val="20"/>
          <w:szCs w:val="20"/>
          <w:color w:val="auto"/>
        </w:rPr>
      </w:pPr>
    </w:p>
    <w:p>
      <w:pPr>
        <w:ind w:left="860" w:hanging="216"/>
        <w:spacing w:after="0"/>
        <w:tabs>
          <w:tab w:leader="none" w:pos="860" w:val="left"/>
        </w:tabs>
        <w:numPr>
          <w:ilvl w:val="0"/>
          <w:numId w:val="2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HOLE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HARES</w:t>
      </w:r>
      <w:r>
        <w:rPr>
          <w:rFonts w:ascii="Times New Roman" w:cs="Times New Roman" w:eastAsia="Times New Roman" w:hAnsi="Times New Roman"/>
          <w:sz w:val="22"/>
          <w:szCs w:val="22"/>
          <w:color w:val="auto"/>
        </w:rPr>
        <w:t>. You may exercise your option only for whole shares of Common Stock.</w:t>
      </w:r>
    </w:p>
    <w:p>
      <w:pPr>
        <w:spacing w:after="0" w:line="206" w:lineRule="exact"/>
        <w:rPr>
          <w:rFonts w:ascii="Times New Roman" w:cs="Times New Roman" w:eastAsia="Times New Roman" w:hAnsi="Times New Roman"/>
          <w:sz w:val="22"/>
          <w:szCs w:val="22"/>
          <w:b w:val="1"/>
          <w:bCs w:val="1"/>
          <w:color w:val="auto"/>
        </w:rPr>
      </w:pPr>
    </w:p>
    <w:p>
      <w:pPr>
        <w:ind w:firstLine="644"/>
        <w:spacing w:after="0" w:line="237" w:lineRule="auto"/>
        <w:tabs>
          <w:tab w:leader="none" w:pos="852" w:val="left"/>
        </w:tabs>
        <w:numPr>
          <w:ilvl w:val="0"/>
          <w:numId w:val="2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AW</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OMPLIANCE</w:t>
      </w:r>
      <w:r>
        <w:rPr>
          <w:rFonts w:ascii="Times New Roman" w:cs="Times New Roman" w:eastAsia="Times New Roman" w:hAnsi="Times New Roman"/>
          <w:sz w:val="22"/>
          <w:szCs w:val="22"/>
          <w:color w:val="auto"/>
        </w:rPr>
        <w:t>. In no event may you exercise your option unless the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16" w:name="page217"/>
    <w:bookmarkEnd w:id="216"/>
    <w:p>
      <w:pPr>
        <w:spacing w:after="0" w:line="181" w:lineRule="exact"/>
        <w:rPr>
          <w:sz w:val="20"/>
          <w:szCs w:val="20"/>
          <w:color w:val="auto"/>
        </w:rPr>
      </w:pPr>
    </w:p>
    <w:p>
      <w:pPr>
        <w:ind w:firstLine="644"/>
        <w:spacing w:after="0" w:line="262" w:lineRule="auto"/>
        <w:tabs>
          <w:tab w:leader="none" w:pos="852" w:val="left"/>
        </w:tabs>
        <w:numPr>
          <w:ilvl w:val="0"/>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w:t>
      </w:r>
      <w:r>
        <w:rPr>
          <w:rFonts w:ascii="Times New Roman" w:cs="Times New Roman" w:eastAsia="Times New Roman" w:hAnsi="Times New Roman"/>
          <w:sz w:val="22"/>
          <w:szCs w:val="22"/>
          <w:color w:val="auto"/>
        </w:rPr>
        <w:t>. You may not exercise your option before the Date of Grant or after the expiration of the option’s term.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your option expires, subject to the provisions of Section 5(h) of the Plan, upon the earliest of the following:</w:t>
      </w:r>
    </w:p>
    <w:p>
      <w:pPr>
        <w:spacing w:after="0" w:line="153" w:lineRule="exact"/>
        <w:rPr>
          <w:rFonts w:ascii="Times New Roman" w:cs="Times New Roman" w:eastAsia="Times New Roman" w:hAnsi="Times New Roman"/>
          <w:sz w:val="22"/>
          <w:szCs w:val="22"/>
          <w:b w:val="1"/>
          <w:bCs w:val="1"/>
          <w:color w:val="auto"/>
        </w:rPr>
      </w:pPr>
    </w:p>
    <w:p>
      <w:pPr>
        <w:ind w:right="100" w:firstLine="1281"/>
        <w:spacing w:after="0" w:line="258" w:lineRule="auto"/>
        <w:tabs>
          <w:tab w:leader="none" w:pos="1579" w:val="left"/>
        </w:tabs>
        <w:numPr>
          <w:ilvl w:val="1"/>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immediately upon the date on which the event giving rise to your termination of Continuous Service for Cause occurs (or, if required by law, the date of termination of Continuous Service for Cause);</w:t>
      </w:r>
    </w:p>
    <w:p>
      <w:pPr>
        <w:spacing w:after="0" w:line="158" w:lineRule="exact"/>
        <w:rPr>
          <w:rFonts w:ascii="Times New Roman" w:cs="Times New Roman" w:eastAsia="Times New Roman" w:hAnsi="Times New Roman"/>
          <w:sz w:val="22"/>
          <w:szCs w:val="22"/>
          <w:b w:val="1"/>
          <w:bCs w:val="1"/>
          <w:color w:val="auto"/>
        </w:rPr>
      </w:pPr>
    </w:p>
    <w:p>
      <w:pPr>
        <w:ind w:right="20" w:firstLine="1281"/>
        <w:spacing w:after="0" w:line="244" w:lineRule="auto"/>
        <w:tabs>
          <w:tab w:leader="none" w:pos="1591" w:val="left"/>
        </w:tabs>
        <w:numPr>
          <w:ilvl w:val="1"/>
          <w:numId w:val="2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three (3)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83" w:lineRule="exact"/>
        <w:rPr>
          <w:rFonts w:ascii="Times New Roman" w:cs="Times New Roman" w:eastAsia="Times New Roman" w:hAnsi="Times New Roman"/>
          <w:sz w:val="21"/>
          <w:szCs w:val="21"/>
          <w:b w:val="1"/>
          <w:bCs w:val="1"/>
          <w:color w:val="auto"/>
        </w:rPr>
      </w:pPr>
    </w:p>
    <w:p>
      <w:pPr>
        <w:ind w:right="860" w:firstLine="1281"/>
        <w:spacing w:after="0" w:line="258" w:lineRule="auto"/>
        <w:tabs>
          <w:tab w:leader="none" w:pos="1566" w:val="left"/>
        </w:tabs>
        <w:numPr>
          <w:ilvl w:val="1"/>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twelve (12) months after the termination of your Continuous Service due to your Disability (except as otherwise provided in Section 8(d)) below;</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500" w:firstLine="1281"/>
        <w:spacing w:after="0" w:line="258" w:lineRule="auto"/>
        <w:tabs>
          <w:tab w:leader="none" w:pos="1591"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eighteen (18) months after your death if you die either during your Continuous Service or within three (3) months after your Continuous Service terminates for any reason other than Cause or Disability;</w:t>
      </w:r>
    </w:p>
    <w:p>
      <w:pPr>
        <w:spacing w:after="0" w:line="158" w:lineRule="exact"/>
        <w:rPr>
          <w:rFonts w:ascii="Times New Roman" w:cs="Times New Roman" w:eastAsia="Times New Roman" w:hAnsi="Times New Roman"/>
          <w:sz w:val="22"/>
          <w:szCs w:val="22"/>
          <w:b w:val="1"/>
          <w:bCs w:val="1"/>
          <w:color w:val="auto"/>
        </w:rPr>
      </w:pPr>
    </w:p>
    <w:p>
      <w:pPr>
        <w:ind w:left="1580" w:hanging="299"/>
        <w:spacing w:after="0"/>
        <w:tabs>
          <w:tab w:leader="none" w:pos="1580"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Expiration Date indicated in your Grant Notice; or</w:t>
      </w:r>
    </w:p>
    <w:p>
      <w:pPr>
        <w:spacing w:after="0" w:line="206" w:lineRule="exact"/>
        <w:rPr>
          <w:rFonts w:ascii="Times New Roman" w:cs="Times New Roman" w:eastAsia="Times New Roman" w:hAnsi="Times New Roman"/>
          <w:sz w:val="22"/>
          <w:szCs w:val="22"/>
          <w:b w:val="1"/>
          <w:bCs w:val="1"/>
          <w:color w:val="auto"/>
        </w:rPr>
      </w:pPr>
    </w:p>
    <w:p>
      <w:pPr>
        <w:ind w:left="1560" w:hanging="279"/>
        <w:spacing w:after="0"/>
        <w:tabs>
          <w:tab w:leader="none" w:pos="1560"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day before the tenth (10th) anniversary of the Date of Grant.</w:t>
      </w:r>
    </w:p>
    <w:p>
      <w:pPr>
        <w:spacing w:after="0" w:line="206" w:lineRule="exact"/>
        <w:rPr>
          <w:sz w:val="20"/>
          <w:szCs w:val="20"/>
          <w:color w:val="auto"/>
        </w:rPr>
      </w:pPr>
    </w:p>
    <w:p>
      <w:pPr>
        <w:ind w:right="20" w:firstLine="636"/>
        <w:spacing w:after="0" w:line="236" w:lineRule="auto"/>
        <w:rPr>
          <w:sz w:val="20"/>
          <w:szCs w:val="20"/>
          <w:color w:val="auto"/>
        </w:rPr>
      </w:pPr>
      <w:r>
        <w:rPr>
          <w:rFonts w:ascii="Times New Roman" w:cs="Times New Roman" w:eastAsia="Times New Roman" w:hAnsi="Times New Roman"/>
          <w:sz w:val="22"/>
          <w:szCs w:val="22"/>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8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otherwise exercise your option more than three (3) months after the date your employment with the Company or an Affiliate terminates.</w:t>
      </w:r>
    </w:p>
    <w:p>
      <w:pPr>
        <w:spacing w:after="0" w:line="262" w:lineRule="exact"/>
        <w:rPr>
          <w:sz w:val="20"/>
          <w:szCs w:val="20"/>
          <w:color w:val="auto"/>
        </w:rPr>
      </w:pPr>
    </w:p>
    <w:p>
      <w:pPr>
        <w:ind w:left="860" w:hanging="216"/>
        <w:spacing w:after="0"/>
        <w:tabs>
          <w:tab w:leader="none" w:pos="860" w:val="left"/>
        </w:tabs>
        <w:numPr>
          <w:ilvl w:val="0"/>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7"/>
          <w:szCs w:val="17"/>
          <w:b w:val="1"/>
          <w:bCs w:val="1"/>
          <w:color w:val="auto"/>
        </w:rPr>
        <w:t>ESTING</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7"/>
          <w:szCs w:val="17"/>
          <w:b w:val="1"/>
          <w:bCs w:val="1"/>
          <w:color w:val="auto"/>
        </w:rPr>
        <w:t>PON A</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HANGE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ONTROL</w:t>
      </w:r>
      <w:r>
        <w:rPr>
          <w:rFonts w:ascii="Times New Roman" w:cs="Times New Roman" w:eastAsia="Times New Roman" w:hAnsi="Times New Roman"/>
          <w:sz w:val="22"/>
          <w:szCs w:val="22"/>
          <w:b w:val="1"/>
          <w:bCs w:val="1"/>
          <w:color w:val="auto"/>
        </w:rPr>
        <w:t>.</w:t>
      </w:r>
    </w:p>
    <w:p>
      <w:pPr>
        <w:spacing w:after="0" w:line="102" w:lineRule="exact"/>
        <w:rPr>
          <w:rFonts w:ascii="Times New Roman" w:cs="Times New Roman" w:eastAsia="Times New Roman" w:hAnsi="Times New Roman"/>
          <w:sz w:val="22"/>
          <w:szCs w:val="22"/>
          <w:b w:val="1"/>
          <w:bCs w:val="1"/>
          <w:color w:val="auto"/>
        </w:rPr>
      </w:pPr>
    </w:p>
    <w:p>
      <w:pPr>
        <w:ind w:firstLine="1281"/>
        <w:spacing w:after="0" w:line="234" w:lineRule="auto"/>
        <w:tabs>
          <w:tab w:leader="none" w:pos="1579" w:val="left"/>
        </w:tabs>
        <w:numPr>
          <w:ilvl w:val="1"/>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 Change in Control (as defined in the Plan, except as set forth in Section 9(c) below), if your option is assumed, continued or otherwise substituted in the Change in Control, and your employment is involuntarily terminated by the Company or its successor corporation without Cause (and other than due to your death or disability) within twelve (12) months following the consummation of the Change in Control, or if you terminate your employment due to a Constructive Termination (as defined below) within twelve (12) months following the consummation of the Change in Control, the vesting and exercisability of the unvested portion of your option will accelerate in full on the date of your termination. Notwithstanding the foregoing, in the event of a Change in Control, if your option is not assumed, continued or otherwise substituted in the Change in Control transaction, the unvested portion of your option will vest and become exercisable as of immediately prior to the consummation of the Change in Control.</w:t>
      </w:r>
    </w:p>
    <w:p>
      <w:pPr>
        <w:spacing w:after="0" w:line="177" w:lineRule="exact"/>
        <w:rPr>
          <w:rFonts w:ascii="Times New Roman" w:cs="Times New Roman" w:eastAsia="Times New Roman" w:hAnsi="Times New Roman"/>
          <w:sz w:val="22"/>
          <w:szCs w:val="22"/>
          <w:b w:val="1"/>
          <w:bCs w:val="1"/>
          <w:color w:val="auto"/>
        </w:rPr>
      </w:pPr>
    </w:p>
    <w:p>
      <w:pPr>
        <w:ind w:right="840" w:firstLine="1281"/>
        <w:spacing w:after="0" w:line="264" w:lineRule="auto"/>
        <w:tabs>
          <w:tab w:leader="none" w:pos="1591" w:val="left"/>
        </w:tabs>
        <w:numPr>
          <w:ilvl w:val="1"/>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Constructive Termination</w:t>
      </w:r>
      <w:r>
        <w:rPr>
          <w:rFonts w:ascii="Times New Roman" w:cs="Times New Roman" w:eastAsia="Times New Roman" w:hAnsi="Times New Roman"/>
          <w:sz w:val="22"/>
          <w:szCs w:val="22"/>
          <w:color w:val="auto"/>
        </w:rPr>
        <w:t>” means your termination of employment following the occurrence, without your written consent, of any one of the following events:</w:t>
      </w:r>
    </w:p>
    <w:p>
      <w:pPr>
        <w:spacing w:after="0" w:line="151" w:lineRule="exact"/>
        <w:rPr>
          <w:rFonts w:ascii="Times New Roman" w:cs="Times New Roman" w:eastAsia="Times New Roman" w:hAnsi="Times New Roman"/>
          <w:sz w:val="22"/>
          <w:szCs w:val="22"/>
          <w:b w:val="1"/>
          <w:bCs w:val="1"/>
          <w:color w:val="auto"/>
        </w:rPr>
      </w:pPr>
    </w:p>
    <w:p>
      <w:pPr>
        <w:ind w:right="40" w:firstLine="1917"/>
        <w:spacing w:after="0" w:line="238" w:lineRule="auto"/>
        <w:tabs>
          <w:tab w:leader="none" w:pos="2167" w:val="left"/>
        </w:tabs>
        <w:numPr>
          <w:ilvl w:val="2"/>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substantial reduction in your duties or responsibilities (and not simply a change in title or reporting relationships) in effect immediately prior to the effective date of the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it shall not be a “Constructive Termination” if the Company is retained as a separate legal entity or business unit following the effective date of the Change in Control and you hold the same position in such legal entity or business unit as you held before the effective date of the Change in Control;</w:t>
      </w:r>
    </w:p>
    <w:p>
      <w:pPr>
        <w:spacing w:after="0" w:line="176" w:lineRule="exact"/>
        <w:rPr>
          <w:rFonts w:ascii="Times New Roman" w:cs="Times New Roman" w:eastAsia="Times New Roman" w:hAnsi="Times New Roman"/>
          <w:sz w:val="22"/>
          <w:szCs w:val="22"/>
          <w:b w:val="1"/>
          <w:bCs w:val="1"/>
          <w:color w:val="auto"/>
        </w:rPr>
      </w:pPr>
    </w:p>
    <w:p>
      <w:pPr>
        <w:ind w:right="400" w:firstLine="1917"/>
        <w:spacing w:after="0" w:line="258" w:lineRule="auto"/>
        <w:tabs>
          <w:tab w:leader="none" w:pos="2227" w:val="left"/>
        </w:tabs>
        <w:numPr>
          <w:ilvl w:val="2"/>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material reduction by the Company (or its successor corporation) in your annual base salary, as in effect on the effective date of the Change in Control or as increased thereafter;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0" w:firstLine="1917"/>
        <w:spacing w:after="0" w:line="235" w:lineRule="auto"/>
        <w:tabs>
          <w:tab w:leader="none" w:pos="2287" w:val="left"/>
        </w:tabs>
        <w:numPr>
          <w:ilvl w:val="0"/>
          <w:numId w:val="2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failure by the Company (or its successor corporation) to continue in effect any benefit plan or program, including incentive plans or plans with respect to the receipt of securities of the Company, in which you were participating immediately prior to the effective date of the Change in Control (hereinafter referred to as “</w:t>
      </w:r>
      <w:r>
        <w:rPr>
          <w:rFonts w:ascii="Times New Roman" w:cs="Times New Roman" w:eastAsia="Times New Roman" w:hAnsi="Times New Roman"/>
          <w:sz w:val="22"/>
          <w:szCs w:val="22"/>
          <w:b w:val="1"/>
          <w:bCs w:val="1"/>
          <w:i w:val="1"/>
          <w:iCs w:val="1"/>
          <w:color w:val="auto"/>
        </w:rPr>
        <w:t>Benefit Plans</w:t>
      </w:r>
      <w:r>
        <w:rPr>
          <w:rFonts w:ascii="Times New Roman" w:cs="Times New Roman" w:eastAsia="Times New Roman" w:hAnsi="Times New Roman"/>
          <w:sz w:val="22"/>
          <w:szCs w:val="22"/>
          <w:color w:val="auto"/>
        </w:rPr>
        <w:t xml:space="preserve">”), or the taking of any action by the Company (or its successor corporation) that would adversely affect your participation in or reduce your benefits under the Benefit Plans or deprive you of any fringe benefit that you enjoyed immediately prior to the effective date of the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Constructive Termination shall not be deemed to have occurred if the Company (or its successor corporation) provides for your participation in benefit plans and programs that, taken as a whole, are comparable to the Benefit Plans;</w:t>
      </w:r>
    </w:p>
    <w:p>
      <w:pPr>
        <w:spacing w:after="0" w:line="178" w:lineRule="exact"/>
        <w:rPr>
          <w:rFonts w:ascii="Times New Roman" w:cs="Times New Roman" w:eastAsia="Times New Roman" w:hAnsi="Times New Roman"/>
          <w:sz w:val="22"/>
          <w:szCs w:val="22"/>
          <w:b w:val="1"/>
          <w:bCs w:val="1"/>
          <w:color w:val="auto"/>
        </w:rPr>
      </w:pPr>
    </w:p>
    <w:p>
      <w:pPr>
        <w:ind w:right="160" w:firstLine="1917"/>
        <w:spacing w:after="0" w:line="258" w:lineRule="auto"/>
        <w:tabs>
          <w:tab w:leader="none" w:pos="2275" w:val="left"/>
        </w:tabs>
        <w:numPr>
          <w:ilvl w:val="0"/>
          <w:numId w:val="2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relocation of your business office location more than fifty (50) miles from the location at which you performed your duties as of the effective date of the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Control, except for required travel by you on the Company’s (or its successor corporation’s) business to an extent substantially consistent with your business travel obligations prior to the effective date of the Change in Control; or</w:t>
      </w:r>
    </w:p>
    <w:p>
      <w:pPr>
        <w:spacing w:after="0" w:line="158" w:lineRule="exact"/>
        <w:rPr>
          <w:sz w:val="20"/>
          <w:szCs w:val="20"/>
          <w:color w:val="auto"/>
        </w:rPr>
      </w:pPr>
    </w:p>
    <w:p>
      <w:pPr>
        <w:ind w:right="520" w:firstLine="1917"/>
        <w:spacing w:after="0" w:line="258" w:lineRule="auto"/>
        <w:tabs>
          <w:tab w:leader="none" w:pos="2215" w:val="left"/>
        </w:tabs>
        <w:numPr>
          <w:ilvl w:val="2"/>
          <w:numId w:val="2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material breach by the Company (or its successor corporation) of any provision of any material agreement between you and the Company concerning the terms and conditions of your employment.</w:t>
      </w:r>
    </w:p>
    <w:p>
      <w:pPr>
        <w:spacing w:after="0" w:line="158" w:lineRule="exact"/>
        <w:rPr>
          <w:rFonts w:ascii="Times New Roman" w:cs="Times New Roman" w:eastAsia="Times New Roman" w:hAnsi="Times New Roman"/>
          <w:sz w:val="22"/>
          <w:szCs w:val="22"/>
          <w:b w:val="1"/>
          <w:bCs w:val="1"/>
          <w:color w:val="auto"/>
        </w:rPr>
      </w:pPr>
    </w:p>
    <w:p>
      <w:pPr>
        <w:ind w:firstLine="1281"/>
        <w:spacing w:after="0" w:line="247" w:lineRule="auto"/>
        <w:tabs>
          <w:tab w:leader="none" w:pos="1566" w:val="left"/>
        </w:tabs>
        <w:numPr>
          <w:ilvl w:val="1"/>
          <w:numId w:val="2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purposes of this Agreement, notwithstanding anything to the contrary contained in the Plan, the term “Change in Control” shall be defined as in the Plan, except that the term shall not include the implementation of anti-takeover measures, including, without limitation, a recapitalization or reorganization of the Company’s capital structure, whether by merger, amendment of the Company’s certificate of incorporation or certificate(s) of designations, or otherwise, solely for the purposes of the implementation of a dual class stock structure, in which one class of securities has greater voting power on matters involving a change of control and other related issues, irrespective of (i) whether such anti-takeover measure includes a voting agreement or a proxy with respect to the Company’s shares; or (ii) whether such recapitalization, reorganization or anti-takeover measure results in a change in Ownership of greater than fifty percent (50%) of the total voting power of the Company.</w:t>
      </w:r>
    </w:p>
    <w:p>
      <w:pPr>
        <w:spacing w:after="0" w:line="275" w:lineRule="exact"/>
        <w:rPr>
          <w:rFonts w:ascii="Times New Roman" w:cs="Times New Roman" w:eastAsia="Times New Roman" w:hAnsi="Times New Roman"/>
          <w:sz w:val="21"/>
          <w:szCs w:val="21"/>
          <w:b w:val="1"/>
          <w:bCs w:val="1"/>
          <w:color w:val="auto"/>
        </w:rPr>
      </w:pPr>
    </w:p>
    <w:p>
      <w:pPr>
        <w:ind w:left="960" w:hanging="316"/>
        <w:spacing w:after="0"/>
        <w:tabs>
          <w:tab w:leader="none" w:pos="960"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XERCISE</w:t>
      </w:r>
      <w:r>
        <w:rPr>
          <w:rFonts w:ascii="Times New Roman" w:cs="Times New Roman" w:eastAsia="Times New Roman" w:hAnsi="Times New Roman"/>
          <w:sz w:val="22"/>
          <w:szCs w:val="22"/>
          <w:color w:val="auto"/>
        </w:rPr>
        <w:t>.</w:t>
      </w:r>
    </w:p>
    <w:p>
      <w:pPr>
        <w:spacing w:after="0" w:line="102" w:lineRule="exact"/>
        <w:rPr>
          <w:rFonts w:ascii="Times New Roman" w:cs="Times New Roman" w:eastAsia="Times New Roman" w:hAnsi="Times New Roman"/>
          <w:sz w:val="22"/>
          <w:szCs w:val="22"/>
          <w:b w:val="1"/>
          <w:bCs w:val="1"/>
          <w:color w:val="auto"/>
        </w:rPr>
      </w:pPr>
    </w:p>
    <w:p>
      <w:pPr>
        <w:ind w:right="220" w:firstLine="1281"/>
        <w:spacing w:after="0" w:line="238" w:lineRule="auto"/>
        <w:tabs>
          <w:tab w:leader="none" w:pos="1579" w:val="left"/>
        </w:tabs>
        <w:numPr>
          <w:ilvl w:val="1"/>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76" w:lineRule="exact"/>
        <w:rPr>
          <w:rFonts w:ascii="Times New Roman" w:cs="Times New Roman" w:eastAsia="Times New Roman" w:hAnsi="Times New Roman"/>
          <w:sz w:val="22"/>
          <w:szCs w:val="22"/>
          <w:b w:val="1"/>
          <w:bCs w:val="1"/>
          <w:color w:val="auto"/>
        </w:rPr>
      </w:pPr>
    </w:p>
    <w:p>
      <w:pPr>
        <w:ind w:right="60" w:firstLine="1281"/>
        <w:spacing w:after="0" w:line="244" w:lineRule="auto"/>
        <w:tabs>
          <w:tab w:leader="none" w:pos="1591" w:val="left"/>
        </w:tabs>
        <w:numPr>
          <w:ilvl w:val="1"/>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to which the shares of Common Stock are subject at the time of exercise, or (iii) the disposition of shares of Common Stock acquired upon such exercise.</w:t>
      </w:r>
    </w:p>
    <w:p>
      <w:pPr>
        <w:spacing w:after="0" w:line="158" w:lineRule="exact"/>
        <w:rPr>
          <w:sz w:val="20"/>
          <w:szCs w:val="20"/>
          <w:color w:val="auto"/>
        </w:rPr>
      </w:pPr>
    </w:p>
    <w:p>
      <w:pPr>
        <w:ind w:right="160" w:firstLine="1281"/>
        <w:spacing w:after="0" w:line="239" w:lineRule="auto"/>
        <w:tabs>
          <w:tab w:leader="none" w:pos="1566" w:val="left"/>
        </w:tabs>
        <w:numPr>
          <w:ilvl w:val="0"/>
          <w:numId w:val="2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19" w:name="page220"/>
    <w:bookmarkEnd w:id="219"/>
    <w:p>
      <w:pPr>
        <w:spacing w:after="0" w:line="181" w:lineRule="exact"/>
        <w:rPr>
          <w:sz w:val="20"/>
          <w:szCs w:val="20"/>
          <w:color w:val="auto"/>
        </w:rPr>
      </w:pPr>
    </w:p>
    <w:p>
      <w:pPr>
        <w:ind w:left="-20" w:firstLine="644"/>
        <w:spacing w:after="0" w:line="262" w:lineRule="auto"/>
        <w:tabs>
          <w:tab w:leader="none" w:pos="940" w:val="left"/>
        </w:tabs>
        <w:numPr>
          <w:ilvl w:val="0"/>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this Section 11, your option is not transferable, except by will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laws of descent and distribution, and is exercisable during your life only by you.</w:t>
      </w:r>
    </w:p>
    <w:p>
      <w:pPr>
        <w:spacing w:after="0" w:line="149" w:lineRule="exact"/>
        <w:rPr>
          <w:rFonts w:ascii="Times New Roman" w:cs="Times New Roman" w:eastAsia="Times New Roman" w:hAnsi="Times New Roman"/>
          <w:sz w:val="22"/>
          <w:szCs w:val="22"/>
          <w:b w:val="1"/>
          <w:bCs w:val="1"/>
          <w:color w:val="auto"/>
        </w:rPr>
      </w:pPr>
    </w:p>
    <w:p>
      <w:pPr>
        <w:ind w:left="-20" w:right="220" w:firstLine="1281"/>
        <w:spacing w:after="0" w:line="241" w:lineRule="auto"/>
        <w:tabs>
          <w:tab w:leader="none" w:pos="1559" w:val="left"/>
        </w:tabs>
        <w:numPr>
          <w:ilvl w:val="1"/>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Certain Trusts. </w:t>
      </w:r>
      <w:r>
        <w:rPr>
          <w:rFonts w:ascii="Times New Roman" w:cs="Times New Roman" w:eastAsia="Times New Roman" w:hAnsi="Times New Roman"/>
          <w:sz w:val="22"/>
          <w:szCs w:val="22"/>
          <w:color w:val="auto"/>
        </w:rPr>
        <w:t>Upon receiving written permission from the Board or its duly authorized designee, you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1" w:lineRule="exact"/>
        <w:rPr>
          <w:rFonts w:ascii="Times New Roman" w:cs="Times New Roman" w:eastAsia="Times New Roman" w:hAnsi="Times New Roman"/>
          <w:sz w:val="22"/>
          <w:szCs w:val="22"/>
          <w:b w:val="1"/>
          <w:bCs w:val="1"/>
          <w:color w:val="auto"/>
        </w:rPr>
      </w:pPr>
    </w:p>
    <w:p>
      <w:pPr>
        <w:ind w:left="-20" w:right="80" w:firstLine="1281"/>
        <w:spacing w:after="0" w:line="235" w:lineRule="auto"/>
        <w:tabs>
          <w:tab w:leader="none" w:pos="1571" w:val="left"/>
        </w:tabs>
        <w:numPr>
          <w:ilvl w:val="1"/>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Domestic Relations Orders. </w:t>
      </w:r>
      <w:r>
        <w:rPr>
          <w:rFonts w:ascii="Times New Roman" w:cs="Times New Roman" w:eastAsia="Times New Roman" w:hAnsi="Times New Roman"/>
          <w:sz w:val="22"/>
          <w:szCs w:val="22"/>
          <w:color w:val="auto"/>
        </w:rPr>
        <w:t>Upon receiving written permission from the Board or its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78" w:lineRule="exact"/>
        <w:rPr>
          <w:rFonts w:ascii="Times New Roman" w:cs="Times New Roman" w:eastAsia="Times New Roman" w:hAnsi="Times New Roman"/>
          <w:sz w:val="22"/>
          <w:szCs w:val="22"/>
          <w:b w:val="1"/>
          <w:bCs w:val="1"/>
          <w:color w:val="auto"/>
        </w:rPr>
      </w:pPr>
    </w:p>
    <w:p>
      <w:pPr>
        <w:ind w:left="-20" w:right="80" w:firstLine="1281"/>
        <w:spacing w:after="0" w:line="237" w:lineRule="auto"/>
        <w:tabs>
          <w:tab w:leader="none" w:pos="1547" w:val="left"/>
        </w:tabs>
        <w:numPr>
          <w:ilvl w:val="1"/>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Upon receiving written permission from the Board or its duly authorized designee,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5" w:lineRule="exact"/>
        <w:rPr>
          <w:sz w:val="20"/>
          <w:szCs w:val="20"/>
          <w:color w:val="auto"/>
        </w:rPr>
      </w:pPr>
    </w:p>
    <w:p>
      <w:pPr>
        <w:ind w:left="-20" w:firstLine="1281"/>
        <w:spacing w:after="0" w:line="238" w:lineRule="auto"/>
        <w:tabs>
          <w:tab w:leader="none" w:pos="1577" w:val="left"/>
        </w:tabs>
        <w:numPr>
          <w:ilvl w:val="0"/>
          <w:numId w:val="2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PTION NOT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ONTRACT</w:t>
      </w:r>
      <w:r>
        <w:rPr>
          <w:rFonts w:ascii="Times New Roman" w:cs="Times New Roman" w:eastAsia="Times New Roman" w:hAnsi="Times New Roman"/>
          <w:sz w:val="22"/>
          <w:szCs w:val="22"/>
          <w:color w:val="auto"/>
        </w:rPr>
        <w:t>. Your option is not an employment or service contract, and nothing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323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940" w:hanging="316"/>
        <w:spacing w:after="0"/>
        <w:tabs>
          <w:tab w:leader="none" w:pos="940" w:val="left"/>
        </w:tabs>
        <w:numPr>
          <w:ilvl w:val="0"/>
          <w:numId w:val="2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BLIGATIONS</w:t>
      </w:r>
      <w:r>
        <w:rPr>
          <w:rFonts w:ascii="Times New Roman" w:cs="Times New Roman" w:eastAsia="Times New Roman" w:hAnsi="Times New Roman"/>
          <w:sz w:val="22"/>
          <w:szCs w:val="22"/>
          <w:b w:val="1"/>
          <w:bCs w:val="1"/>
          <w:color w:val="auto"/>
        </w:rPr>
        <w:t>.</w:t>
      </w:r>
    </w:p>
    <w:p>
      <w:pPr>
        <w:spacing w:after="0" w:line="102" w:lineRule="exact"/>
        <w:rPr>
          <w:rFonts w:ascii="Times New Roman" w:cs="Times New Roman" w:eastAsia="Times New Roman" w:hAnsi="Times New Roman"/>
          <w:sz w:val="22"/>
          <w:szCs w:val="22"/>
          <w:b w:val="1"/>
          <w:bCs w:val="1"/>
          <w:color w:val="auto"/>
        </w:rPr>
      </w:pPr>
    </w:p>
    <w:p>
      <w:pPr>
        <w:ind w:left="-20" w:right="280" w:firstLine="1281"/>
        <w:spacing w:after="0" w:line="239" w:lineRule="auto"/>
        <w:tabs>
          <w:tab w:leader="none" w:pos="1559" w:val="left"/>
        </w:tabs>
        <w:numPr>
          <w:ilvl w:val="1"/>
          <w:numId w:val="2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873760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20" w:name="page221"/>
    <w:bookmarkEnd w:id="220"/>
    <w:p>
      <w:pPr>
        <w:spacing w:after="0" w:line="77"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satisfy the federal, state, local and foreign tax withholding obligations of the Company or an Affiliate, if any, which arise in connection with the exercise of your option.</w:t>
      </w:r>
    </w:p>
    <w:p>
      <w:pPr>
        <w:spacing w:after="0" w:line="158" w:lineRule="exact"/>
        <w:rPr>
          <w:sz w:val="20"/>
          <w:szCs w:val="20"/>
          <w:color w:val="auto"/>
        </w:rPr>
      </w:pPr>
    </w:p>
    <w:p>
      <w:pPr>
        <w:ind w:right="80" w:firstLine="1281"/>
        <w:spacing w:after="0" w:line="233" w:lineRule="auto"/>
        <w:tabs>
          <w:tab w:leader="none" w:pos="1591" w:val="left"/>
        </w:tabs>
        <w:numPr>
          <w:ilvl w:val="1"/>
          <w:numId w:val="2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82" w:lineRule="exact"/>
        <w:rPr>
          <w:rFonts w:ascii="Times New Roman" w:cs="Times New Roman" w:eastAsia="Times New Roman" w:hAnsi="Times New Roman"/>
          <w:sz w:val="22"/>
          <w:szCs w:val="22"/>
          <w:b w:val="1"/>
          <w:bCs w:val="1"/>
          <w:color w:val="auto"/>
        </w:rPr>
      </w:pPr>
    </w:p>
    <w:p>
      <w:pPr>
        <w:jc w:val="both"/>
        <w:ind w:firstLine="1281"/>
        <w:spacing w:after="0" w:line="239" w:lineRule="auto"/>
        <w:tabs>
          <w:tab w:leader="none" w:pos="1566" w:val="left"/>
        </w:tabs>
        <w:numPr>
          <w:ilvl w:val="1"/>
          <w:numId w:val="2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76" w:lineRule="exact"/>
        <w:rPr>
          <w:rFonts w:ascii="Times New Roman" w:cs="Times New Roman" w:eastAsia="Times New Roman" w:hAnsi="Times New Roman"/>
          <w:sz w:val="22"/>
          <w:szCs w:val="22"/>
          <w:b w:val="1"/>
          <w:bCs w:val="1"/>
          <w:color w:val="auto"/>
        </w:rPr>
      </w:pPr>
    </w:p>
    <w:p>
      <w:pPr>
        <w:ind w:firstLine="644"/>
        <w:spacing w:after="0" w:line="237" w:lineRule="auto"/>
        <w:tabs>
          <w:tab w:leader="none" w:pos="960"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ONSEQUENCES</w:t>
      </w:r>
      <w:r>
        <w:rPr>
          <w:rFonts w:ascii="Times New Roman" w:cs="Times New Roman" w:eastAsia="Times New Roman" w:hAnsi="Times New Roman"/>
          <w:sz w:val="22"/>
          <w:szCs w:val="22"/>
          <w:color w:val="auto"/>
        </w:rPr>
        <w:t>. You hereby agree that the Company does not have a duty to design or administer the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75" w:lineRule="exact"/>
        <w:rPr>
          <w:rFonts w:ascii="Times New Roman" w:cs="Times New Roman" w:eastAsia="Times New Roman" w:hAnsi="Times New Roman"/>
          <w:sz w:val="22"/>
          <w:szCs w:val="22"/>
          <w:b w:val="1"/>
          <w:bCs w:val="1"/>
          <w:color w:val="auto"/>
        </w:rPr>
      </w:pPr>
    </w:p>
    <w:p>
      <w:pPr>
        <w:jc w:val="both"/>
        <w:ind w:right="200" w:firstLine="644"/>
        <w:spacing w:after="0" w:line="246" w:lineRule="auto"/>
        <w:tabs>
          <w:tab w:leader="none" w:pos="960"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OTICES</w:t>
      </w:r>
      <w:r>
        <w:rPr>
          <w:rFonts w:ascii="Times New Roman" w:cs="Times New Roman" w:eastAsia="Times New Roman" w:hAnsi="Times New Roman"/>
          <w:sz w:val="22"/>
          <w:szCs w:val="22"/>
          <w:color w:val="auto"/>
        </w:rPr>
        <w:t>. Any notices provided for in your option or the Plan will be given in writing (including electronically)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effectively given upon receipt or, in the case of notices delivered by mail by the Company to you, five (5) days after deposit in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system established and maintained by the Company or another third party designated by the Company.</w:t>
      </w:r>
    </w:p>
    <w:p>
      <w:pPr>
        <w:spacing w:after="0" w:line="202" w:lineRule="exact"/>
        <w:rPr>
          <w:sz w:val="20"/>
          <w:szCs w:val="20"/>
          <w:color w:val="auto"/>
        </w:rPr>
      </w:pPr>
    </w:p>
    <w:p>
      <w:pPr>
        <w:ind w:right="20" w:firstLine="644"/>
        <w:spacing w:after="0" w:line="236" w:lineRule="auto"/>
        <w:tabs>
          <w:tab w:leader="none" w:pos="960"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OCUMENT</w:t>
      </w:r>
      <w:r>
        <w:rPr>
          <w:rFonts w:ascii="Times New Roman" w:cs="Times New Roman" w:eastAsia="Times New Roman" w:hAnsi="Times New Roman"/>
          <w:sz w:val="22"/>
          <w:szCs w:val="22"/>
          <w:color w:val="auto"/>
        </w:rPr>
        <w:t>. Your option is subject to all the provisions of the Plan, the provisions of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75" w:lineRule="exact"/>
        <w:rPr>
          <w:rFonts w:ascii="Times New Roman" w:cs="Times New Roman" w:eastAsia="Times New Roman" w:hAnsi="Times New Roman"/>
          <w:sz w:val="22"/>
          <w:szCs w:val="22"/>
          <w:b w:val="1"/>
          <w:bCs w:val="1"/>
          <w:color w:val="auto"/>
        </w:rPr>
      </w:pPr>
    </w:p>
    <w:p>
      <w:pPr>
        <w:ind w:right="240" w:firstLine="644"/>
        <w:spacing w:after="0" w:line="241" w:lineRule="auto"/>
        <w:tabs>
          <w:tab w:leader="none" w:pos="960"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OCUMENTS</w:t>
      </w:r>
      <w:r>
        <w:rPr>
          <w:rFonts w:ascii="Times New Roman" w:cs="Times New Roman" w:eastAsia="Times New Roman" w:hAnsi="Times New Roman"/>
          <w:sz w:val="22"/>
          <w:szCs w:val="22"/>
          <w:color w:val="auto"/>
        </w:rPr>
        <w:t>. You hereby acknowledge receipt of and the right to receive a document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71" w:lineRule="exact"/>
        <w:rPr>
          <w:rFonts w:ascii="Times New Roman" w:cs="Times New Roman" w:eastAsia="Times New Roman" w:hAnsi="Times New Roman"/>
          <w:sz w:val="22"/>
          <w:szCs w:val="22"/>
          <w:b w:val="1"/>
          <w:bCs w:val="1"/>
          <w:color w:val="auto"/>
        </w:rPr>
      </w:pPr>
    </w:p>
    <w:p>
      <w:pPr>
        <w:ind w:right="140" w:firstLine="644"/>
        <w:spacing w:after="0" w:line="241" w:lineRule="auto"/>
        <w:tabs>
          <w:tab w:leader="none" w:pos="960"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FFECT ON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MPLOYEE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7"/>
          <w:szCs w:val="17"/>
          <w:b w:val="1"/>
          <w:bCs w:val="1"/>
          <w:color w:val="auto"/>
        </w:rPr>
        <w:t>ENEFIT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LANS</w:t>
      </w:r>
      <w:r>
        <w:rPr>
          <w:rFonts w:ascii="Times New Roman" w:cs="Times New Roman" w:eastAsia="Times New Roman" w:hAnsi="Times New Roman"/>
          <w:sz w:val="22"/>
          <w:szCs w:val="22"/>
          <w:color w:val="auto"/>
        </w:rPr>
        <w:t>. The value of this option will not be included as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1" w:lineRule="exact"/>
        <w:rPr>
          <w:rFonts w:ascii="Times New Roman" w:cs="Times New Roman" w:eastAsia="Times New Roman" w:hAnsi="Times New Roman"/>
          <w:sz w:val="22"/>
          <w:szCs w:val="22"/>
          <w:b w:val="1"/>
          <w:bCs w:val="1"/>
          <w:color w:val="auto"/>
        </w:rPr>
      </w:pPr>
    </w:p>
    <w:p>
      <w:pPr>
        <w:ind w:firstLine="644"/>
        <w:spacing w:after="0" w:line="238" w:lineRule="auto"/>
        <w:tabs>
          <w:tab w:leader="none" w:pos="960"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7"/>
          <w:szCs w:val="17"/>
          <w:b w:val="1"/>
          <w:bCs w:val="1"/>
          <w:color w:val="auto"/>
        </w:rPr>
        <w:t>OTING</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IGHTS</w:t>
      </w:r>
      <w:r>
        <w:rPr>
          <w:rFonts w:ascii="Times New Roman" w:cs="Times New Roman" w:eastAsia="Times New Roman" w:hAnsi="Times New Roman"/>
          <w:sz w:val="22"/>
          <w:szCs w:val="22"/>
          <w:color w:val="auto"/>
        </w:rPr>
        <w:t>. You will not have voting or any other rights as a stockholder of the Company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76" w:lineRule="exact"/>
        <w:rPr>
          <w:rFonts w:ascii="Times New Roman" w:cs="Times New Roman" w:eastAsia="Times New Roman" w:hAnsi="Times New Roman"/>
          <w:sz w:val="22"/>
          <w:szCs w:val="22"/>
          <w:b w:val="1"/>
          <w:bCs w:val="1"/>
          <w:color w:val="auto"/>
        </w:rPr>
      </w:pPr>
    </w:p>
    <w:p>
      <w:pPr>
        <w:ind w:right="100" w:firstLine="644"/>
        <w:spacing w:after="0" w:line="238" w:lineRule="auto"/>
        <w:tabs>
          <w:tab w:leader="none" w:pos="960"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EVERABILITY</w:t>
      </w:r>
      <w:r>
        <w:rPr>
          <w:rFonts w:ascii="Times New Roman" w:cs="Times New Roman" w:eastAsia="Times New Roman" w:hAnsi="Times New Roman"/>
          <w:sz w:val="22"/>
          <w:szCs w:val="22"/>
          <w:color w:val="auto"/>
        </w:rPr>
        <w:t>. If all or any part of this Option Agreement or the Plan is declared by any court or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960" w:hanging="316"/>
        <w:spacing w:after="0"/>
        <w:tabs>
          <w:tab w:leader="none" w:pos="960" w:val="left"/>
        </w:tabs>
        <w:numPr>
          <w:ilvl w:val="0"/>
          <w:numId w:val="2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7"/>
          <w:szCs w:val="17"/>
          <w:b w:val="1"/>
          <w:bCs w:val="1"/>
          <w:color w:val="auto"/>
        </w:rPr>
        <w:t>ISCELLANEOUS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right="160" w:firstLine="1281"/>
        <w:spacing w:after="0" w:line="244" w:lineRule="auto"/>
        <w:tabs>
          <w:tab w:leader="none" w:pos="1579" w:val="left"/>
        </w:tabs>
        <w:numPr>
          <w:ilvl w:val="1"/>
          <w:numId w:val="2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222" w:name="page223"/>
    <w:bookmarkEnd w:id="222"/>
    <w:p>
      <w:pPr>
        <w:spacing w:after="0" w:line="185" w:lineRule="exact"/>
        <w:rPr>
          <w:sz w:val="20"/>
          <w:szCs w:val="20"/>
          <w:color w:val="auto"/>
        </w:rPr>
      </w:pPr>
    </w:p>
    <w:p>
      <w:pPr>
        <w:ind w:right="460" w:firstLine="1281"/>
        <w:spacing w:after="0" w:line="258" w:lineRule="auto"/>
        <w:tabs>
          <w:tab w:leader="none" w:pos="1591" w:val="left"/>
        </w:tabs>
        <w:numPr>
          <w:ilvl w:val="0"/>
          <w:numId w:val="2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option.</w:t>
      </w:r>
    </w:p>
    <w:p>
      <w:pPr>
        <w:spacing w:after="0" w:line="158" w:lineRule="exact"/>
        <w:rPr>
          <w:rFonts w:ascii="Times New Roman" w:cs="Times New Roman" w:eastAsia="Times New Roman" w:hAnsi="Times New Roman"/>
          <w:sz w:val="22"/>
          <w:szCs w:val="22"/>
          <w:b w:val="1"/>
          <w:bCs w:val="1"/>
          <w:color w:val="auto"/>
        </w:rPr>
      </w:pPr>
    </w:p>
    <w:p>
      <w:pPr>
        <w:jc w:val="both"/>
        <w:ind w:right="460" w:firstLine="1281"/>
        <w:spacing w:after="0" w:line="282" w:lineRule="auto"/>
        <w:tabs>
          <w:tab w:leader="none" w:pos="1566" w:val="left"/>
        </w:tabs>
        <w:numPr>
          <w:ilvl w:val="0"/>
          <w:numId w:val="2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34" w:lineRule="exact"/>
        <w:rPr>
          <w:rFonts w:ascii="Times New Roman" w:cs="Times New Roman" w:eastAsia="Times New Roman" w:hAnsi="Times New Roman"/>
          <w:sz w:val="21"/>
          <w:szCs w:val="21"/>
          <w:b w:val="1"/>
          <w:bCs w:val="1"/>
          <w:color w:val="auto"/>
        </w:rPr>
      </w:pPr>
    </w:p>
    <w:p>
      <w:pPr>
        <w:ind w:right="180" w:firstLine="1281"/>
        <w:spacing w:after="0" w:line="258" w:lineRule="auto"/>
        <w:tabs>
          <w:tab w:leader="none" w:pos="1591" w:val="left"/>
        </w:tabs>
        <w:numPr>
          <w:ilvl w:val="0"/>
          <w:numId w:val="2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Option Agreement will be subject to all applicable laws, rules, and regulations, and to such approvals by any governmental agencies or national securities exchanges as may be required.</w:t>
      </w:r>
    </w:p>
    <w:p>
      <w:pPr>
        <w:spacing w:after="0" w:line="158" w:lineRule="exact"/>
        <w:rPr>
          <w:rFonts w:ascii="Times New Roman" w:cs="Times New Roman" w:eastAsia="Times New Roman" w:hAnsi="Times New Roman"/>
          <w:sz w:val="22"/>
          <w:szCs w:val="22"/>
          <w:b w:val="1"/>
          <w:bCs w:val="1"/>
          <w:color w:val="auto"/>
        </w:rPr>
      </w:pPr>
    </w:p>
    <w:p>
      <w:pPr>
        <w:ind w:right="120" w:firstLine="1281"/>
        <w:spacing w:after="0" w:line="244" w:lineRule="auto"/>
        <w:tabs>
          <w:tab w:leader="none" w:pos="1566" w:val="left"/>
        </w:tabs>
        <w:numPr>
          <w:ilvl w:val="0"/>
          <w:numId w:val="2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73" w:lineRule="exact"/>
        <w:rPr>
          <w:rFonts w:ascii="Times New Roman" w:cs="Times New Roman" w:eastAsia="Times New Roman" w:hAnsi="Times New Roman"/>
          <w:sz w:val="22"/>
          <w:szCs w:val="22"/>
          <w:b w:val="1"/>
          <w:bCs w:val="1"/>
          <w:color w:val="auto"/>
        </w:rPr>
      </w:pPr>
    </w:p>
    <w:p>
      <w:pPr>
        <w:ind w:left="50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Option Agreement will be deemed to be signed by you upon the signing by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you of the Grant Notice to which it is attached.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2"/>
          <w:szCs w:val="22"/>
          <w:b w:val="1"/>
          <w:bCs w:val="1"/>
          <w:color w:val="auto"/>
        </w:rPr>
        <w:t xml:space="preserv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2"/>
          <w:szCs w:val="22"/>
          <w:b w:val="1"/>
          <w:bCs w:val="1"/>
          <w:color w:val="auto"/>
        </w:rPr>
        <w:t xml:space="preserv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OTICE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Kyntra Bio,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[Stock Plan Administrator]</w:t>
      </w:r>
    </w:p>
    <w:p>
      <w:pPr>
        <w:spacing w:after="0" w:line="230" w:lineRule="auto"/>
        <w:rPr>
          <w:sz w:val="20"/>
          <w:szCs w:val="20"/>
          <w:color w:val="auto"/>
        </w:rPr>
      </w:pPr>
      <w:r>
        <w:rPr>
          <w:rFonts w:ascii="Times New Roman" w:cs="Times New Roman" w:eastAsia="Times New Roman" w:hAnsi="Times New Roman"/>
          <w:sz w:val="22"/>
          <w:szCs w:val="22"/>
          <w:color w:val="auto"/>
        </w:rPr>
        <w:t>350 Bay Street, Suite 100 #6009</w:t>
      </w:r>
    </w:p>
    <w:p>
      <w:pPr>
        <w:spacing w:after="0" w:line="231" w:lineRule="auto"/>
        <w:rPr>
          <w:sz w:val="20"/>
          <w:szCs w:val="20"/>
          <w:color w:val="auto"/>
        </w:rPr>
      </w:pPr>
      <w:r>
        <w:rPr>
          <w:rFonts w:ascii="Times New Roman" w:cs="Times New Roman" w:eastAsia="Times New Roman" w:hAnsi="Times New Roman"/>
          <w:sz w:val="22"/>
          <w:szCs w:val="22"/>
          <w:color w:val="auto"/>
        </w:rPr>
        <w:t>San Francisco, CA 94133</w:t>
      </w:r>
    </w:p>
    <w:p>
      <w:pPr>
        <w:ind w:left="8600"/>
        <w:spacing w:after="0"/>
        <w:rPr>
          <w:sz w:val="20"/>
          <w:szCs w:val="20"/>
          <w:color w:val="auto"/>
        </w:rPr>
      </w:pPr>
      <w:r>
        <w:rPr>
          <w:rFonts w:ascii="Times New Roman" w:cs="Times New Roman" w:eastAsia="Times New Roman" w:hAnsi="Times New Roman"/>
          <w:sz w:val="22"/>
          <w:szCs w:val="22"/>
          <w:color w:val="auto"/>
        </w:rPr>
        <w:t>Date of Exercise:</w:t>
      </w:r>
    </w:p>
    <w:p>
      <w:pPr>
        <w:spacing w:after="0" w:line="176" w:lineRule="exact"/>
        <w:rPr>
          <w:sz w:val="20"/>
          <w:szCs w:val="20"/>
          <w:color w:val="auto"/>
        </w:rPr>
      </w:pPr>
    </w:p>
    <w:p>
      <w:pPr>
        <w:ind w:right="520" w:firstLine="636"/>
        <w:spacing w:after="0" w:line="264" w:lineRule="auto"/>
        <w:rPr>
          <w:sz w:val="20"/>
          <w:szCs w:val="20"/>
          <w:color w:val="auto"/>
        </w:rPr>
      </w:pPr>
      <w:r>
        <w:rPr>
          <w:rFonts w:ascii="Times New Roman" w:cs="Times New Roman" w:eastAsia="Times New Roman" w:hAnsi="Times New Roman"/>
          <w:sz w:val="22"/>
          <w:szCs w:val="22"/>
          <w:color w:val="auto"/>
        </w:rPr>
        <w:t>This constitutes notice to 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under my stock option that I elect to purchase the below number of shares of Common Stock of the Company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for the price set forth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64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Type of option (check one):</w:t>
            </w:r>
          </w:p>
        </w:tc>
        <w:tc>
          <w:tcPr>
            <w:tcW w:w="1600" w:type="dxa"/>
            <w:vAlign w:val="bottom"/>
          </w:tcPr>
          <w:p>
            <w:pPr>
              <w:ind w:left="340"/>
              <w:spacing w:after="0" w:line="253" w:lineRule="exact"/>
              <w:rPr>
                <w:sz w:val="20"/>
                <w:szCs w:val="20"/>
                <w:color w:val="auto"/>
              </w:rPr>
            </w:pPr>
            <w:r>
              <w:rPr>
                <w:rFonts w:ascii="Times New Roman" w:cs="Times New Roman" w:eastAsia="Times New Roman" w:hAnsi="Times New Roman"/>
                <w:sz w:val="22"/>
                <w:szCs w:val="22"/>
                <w:color w:val="auto"/>
              </w:rPr>
              <w:t xml:space="preserve">Incentive </w:t>
            </w:r>
            <w:r>
              <w:rPr>
                <w:rFonts w:ascii="MS PGothic" w:cs="MS PGothic" w:eastAsia="MS PGothic" w:hAnsi="MS PGothic"/>
                <w:sz w:val="22"/>
                <w:szCs w:val="22"/>
                <w:color w:val="auto"/>
              </w:rPr>
              <w:t>☐</w:t>
            </w:r>
          </w:p>
        </w:tc>
        <w:tc>
          <w:tcPr>
            <w:tcW w:w="620" w:type="dxa"/>
            <w:vAlign w:val="bottom"/>
          </w:tcPr>
          <w:p>
            <w:pPr>
              <w:spacing w:after="0"/>
              <w:rPr>
                <w:sz w:val="24"/>
                <w:szCs w:val="24"/>
                <w:color w:val="auto"/>
              </w:rPr>
            </w:pPr>
          </w:p>
        </w:tc>
        <w:tc>
          <w:tcPr>
            <w:tcW w:w="2540" w:type="dxa"/>
            <w:vAlign w:val="bottom"/>
            <w:gridSpan w:val="3"/>
          </w:tcPr>
          <w:p>
            <w:pPr>
              <w:ind w:left="360"/>
              <w:spacing w:after="0" w:line="253" w:lineRule="exact"/>
              <w:rPr>
                <w:sz w:val="20"/>
                <w:szCs w:val="20"/>
                <w:color w:val="auto"/>
              </w:rPr>
            </w:pPr>
            <w:r>
              <w:rPr>
                <w:rFonts w:ascii="Times New Roman" w:cs="Times New Roman" w:eastAsia="Times New Roman" w:hAnsi="Times New Roman"/>
                <w:sz w:val="22"/>
                <w:szCs w:val="22"/>
                <w:color w:val="auto"/>
              </w:rPr>
              <w:t xml:space="preserve">Nonstatutory </w:t>
            </w:r>
            <w:r>
              <w:rPr>
                <w:rFonts w:ascii="MS PGothic" w:cs="MS PGothic" w:eastAsia="MS PGothic" w:hAnsi="MS PGothic"/>
                <w:sz w:val="22"/>
                <w:szCs w:val="22"/>
                <w:color w:val="auto"/>
              </w:rPr>
              <w:t>☐</w:t>
            </w:r>
          </w:p>
        </w:tc>
      </w:tr>
      <w:tr>
        <w:trPr>
          <w:trHeight w:val="243"/>
        </w:trPr>
        <w:tc>
          <w:tcPr>
            <w:tcW w:w="460" w:type="dxa"/>
            <w:vAlign w:val="bottom"/>
          </w:tcPr>
          <w:p>
            <w:pPr>
              <w:spacing w:after="0"/>
              <w:rPr>
                <w:sz w:val="21"/>
                <w:szCs w:val="21"/>
                <w:color w:val="auto"/>
              </w:rPr>
            </w:pPr>
          </w:p>
        </w:tc>
        <w:tc>
          <w:tcPr>
            <w:tcW w:w="60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Stock option dated:</w:t>
            </w:r>
          </w:p>
        </w:tc>
        <w:tc>
          <w:tcPr>
            <w:tcW w:w="1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r>
      <w:tr>
        <w:trPr>
          <w:trHeight w:val="189"/>
        </w:trPr>
        <w:tc>
          <w:tcPr>
            <w:tcW w:w="4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418"/>
        </w:trPr>
        <w:tc>
          <w:tcPr>
            <w:tcW w:w="46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22"/>
          <w:szCs w:val="22"/>
          <w:color w:val="auto"/>
        </w:rPr>
        <w:t>Number of Shares as to which option is exercised:</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2"/>
                <w:szCs w:val="22"/>
                <w:color w:val="auto"/>
              </w:rPr>
              <w:t>Certificates to be issued in name of:</w:t>
            </w:r>
          </w:p>
        </w:tc>
        <w:tc>
          <w:tcPr>
            <w:tcW w:w="660" w:type="dxa"/>
            <w:vAlign w:val="bottom"/>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960" w:type="dxa"/>
            <w:vAlign w:val="bottom"/>
            <w:tcBorders>
              <w:top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Total exercise price:</w:t>
            </w:r>
          </w:p>
        </w:tc>
        <w:tc>
          <w:tcPr>
            <w:tcW w:w="3500" w:type="dxa"/>
            <w:vAlign w:val="bottom"/>
          </w:tcPr>
          <w:p>
            <w:pPr>
              <w:spacing w:after="0"/>
              <w:rPr>
                <w:sz w:val="16"/>
                <w:szCs w:val="16"/>
                <w:color w:val="auto"/>
              </w:rPr>
            </w:pPr>
          </w:p>
        </w:tc>
        <w:tc>
          <w:tcPr>
            <w:tcW w:w="660" w:type="dxa"/>
            <w:vAlign w:val="bottom"/>
            <w:vMerge w:val="restart"/>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620" w:type="dxa"/>
            <w:vAlign w:val="bottom"/>
            <w:vMerge w:val="restart"/>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860" w:type="dxa"/>
            <w:vAlign w:val="bottom"/>
            <w:gridSpan w:val="2"/>
            <w:vMerge w:val="continue"/>
          </w:tcPr>
          <w:p>
            <w:pPr>
              <w:spacing w:after="0"/>
              <w:rPr>
                <w:sz w:val="23"/>
                <w:szCs w:val="23"/>
                <w:color w:val="auto"/>
              </w:rPr>
            </w:pPr>
          </w:p>
        </w:tc>
        <w:tc>
          <w:tcPr>
            <w:tcW w:w="350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160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72"/>
              </w:rPr>
              <w:t>$</w:t>
            </w:r>
          </w:p>
        </w:tc>
        <w:tc>
          <w:tcPr>
            <w:tcW w:w="620" w:type="dxa"/>
            <w:vAlign w:val="bottom"/>
            <w:vMerge w:val="continue"/>
          </w:tcPr>
          <w:p>
            <w:pPr>
              <w:spacing w:after="0"/>
              <w:rPr>
                <w:sz w:val="23"/>
                <w:szCs w:val="23"/>
                <w:color w:val="auto"/>
              </w:rPr>
            </w:pPr>
          </w:p>
        </w:tc>
        <w:tc>
          <w:tcPr>
            <w:tcW w:w="196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w w:val="72"/>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2"/>
            <w:shd w:val="clear" w:color="auto" w:fill="CCEEFF"/>
          </w:tcPr>
          <w:p>
            <w:pPr>
              <w:ind w:left="220"/>
              <w:spacing w:after="0" w:line="243" w:lineRule="exact"/>
              <w:rPr>
                <w:sz w:val="20"/>
                <w:szCs w:val="20"/>
                <w:color w:val="auto"/>
              </w:rPr>
            </w:pPr>
            <w:r>
              <w:rPr>
                <w:rFonts w:ascii="Times New Roman" w:cs="Times New Roman" w:eastAsia="Times New Roman" w:hAnsi="Times New Roman"/>
                <w:sz w:val="22"/>
                <w:szCs w:val="22"/>
                <w:color w:val="auto"/>
              </w:rPr>
              <w:t>Cash payment delivered herewith:</w:t>
            </w:r>
          </w:p>
        </w:tc>
        <w:tc>
          <w:tcPr>
            <w:tcW w:w="2260" w:type="dxa"/>
            <w:vAlign w:val="bottom"/>
            <w:gridSpan w:val="2"/>
            <w:shd w:val="clear" w:color="auto" w:fill="CCEEFF"/>
          </w:tcPr>
          <w:p>
            <w:pPr>
              <w:jc w:val="right"/>
              <w:ind w:right="13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gridSpan w:val="2"/>
            <w:shd w:val="clear" w:color="auto" w:fill="CCEEFF"/>
          </w:tcPr>
          <w:p>
            <w:pPr>
              <w:jc w:val="right"/>
              <w:ind w:right="17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Value of</w:t>
            </w:r>
          </w:p>
        </w:tc>
        <w:tc>
          <w:tcPr>
            <w:tcW w:w="3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Shares delivered herewith:</w:t>
            </w:r>
          </w:p>
        </w:tc>
        <w:tc>
          <w:tcPr>
            <w:tcW w:w="660" w:type="dxa"/>
            <w:vAlign w:val="bottom"/>
            <w:vMerge w:val="restart"/>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vMerge w:val="restart"/>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840" w:type="dxa"/>
            <w:vAlign w:val="bottom"/>
            <w:vMerge w:val="continue"/>
          </w:tcPr>
          <w:p>
            <w:pPr>
              <w:spacing w:after="0"/>
              <w:rPr>
                <w:sz w:val="23"/>
                <w:szCs w:val="23"/>
                <w:color w:val="auto"/>
              </w:rPr>
            </w:pPr>
          </w:p>
        </w:tc>
        <w:tc>
          <w:tcPr>
            <w:tcW w:w="3500" w:type="dxa"/>
            <w:vAlign w:val="bottom"/>
            <w:vMerge w:val="continue"/>
          </w:tcPr>
          <w:p>
            <w:pPr>
              <w:spacing w:after="0"/>
              <w:rPr>
                <w:sz w:val="23"/>
                <w:szCs w:val="23"/>
                <w:color w:val="auto"/>
              </w:rPr>
            </w:pPr>
          </w:p>
        </w:tc>
        <w:tc>
          <w:tcPr>
            <w:tcW w:w="660" w:type="dxa"/>
            <w:vAlign w:val="bottom"/>
            <w:vMerge w:val="continue"/>
          </w:tcPr>
          <w:p>
            <w:pPr>
              <w:spacing w:after="0"/>
              <w:rPr>
                <w:sz w:val="23"/>
                <w:szCs w:val="23"/>
                <w:color w:val="auto"/>
              </w:rPr>
            </w:pPr>
          </w:p>
        </w:tc>
        <w:tc>
          <w:tcPr>
            <w:tcW w:w="160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72"/>
              </w:rPr>
              <w:t>$</w:t>
            </w:r>
          </w:p>
        </w:tc>
        <w:tc>
          <w:tcPr>
            <w:tcW w:w="620" w:type="dxa"/>
            <w:vAlign w:val="bottom"/>
            <w:vMerge w:val="continue"/>
          </w:tcPr>
          <w:p>
            <w:pPr>
              <w:spacing w:after="0"/>
              <w:rPr>
                <w:sz w:val="23"/>
                <w:szCs w:val="23"/>
                <w:color w:val="auto"/>
              </w:rPr>
            </w:pPr>
          </w:p>
        </w:tc>
        <w:tc>
          <w:tcPr>
            <w:tcW w:w="196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w w:val="72"/>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4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22"/>
                <w:szCs w:val="22"/>
                <w:color w:val="auto"/>
              </w:rPr>
              <w:t>Value of</w:t>
            </w:r>
          </w:p>
        </w:tc>
        <w:tc>
          <w:tcPr>
            <w:tcW w:w="350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pursuant to net exercise:</w:t>
            </w:r>
          </w:p>
        </w:tc>
        <w:tc>
          <w:tcPr>
            <w:tcW w:w="2260" w:type="dxa"/>
            <w:vAlign w:val="bottom"/>
            <w:gridSpan w:val="2"/>
            <w:shd w:val="clear" w:color="auto" w:fill="CCEEFF"/>
          </w:tcPr>
          <w:p>
            <w:pPr>
              <w:jc w:val="right"/>
              <w:ind w:right="13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gridSpan w:val="2"/>
            <w:shd w:val="clear" w:color="auto" w:fill="CCEEFF"/>
          </w:tcPr>
          <w:p>
            <w:pPr>
              <w:jc w:val="right"/>
              <w:ind w:right="17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Regulation T Program (cashless exercise):</w:t>
            </w:r>
          </w:p>
        </w:tc>
        <w:tc>
          <w:tcPr>
            <w:tcW w:w="660" w:type="dxa"/>
            <w:vAlign w:val="bottom"/>
            <w:vMerge w:val="restart"/>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vMerge w:val="restart"/>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340" w:type="dxa"/>
            <w:vAlign w:val="bottom"/>
            <w:gridSpan w:val="2"/>
            <w:vMerge w:val="continue"/>
          </w:tcPr>
          <w:p>
            <w:pPr>
              <w:spacing w:after="0"/>
              <w:rPr>
                <w:sz w:val="23"/>
                <w:szCs w:val="23"/>
                <w:color w:val="auto"/>
              </w:rPr>
            </w:pPr>
          </w:p>
        </w:tc>
        <w:tc>
          <w:tcPr>
            <w:tcW w:w="660" w:type="dxa"/>
            <w:vAlign w:val="bottom"/>
            <w:vMerge w:val="continue"/>
          </w:tcPr>
          <w:p>
            <w:pPr>
              <w:spacing w:after="0"/>
              <w:rPr>
                <w:sz w:val="23"/>
                <w:szCs w:val="23"/>
                <w:color w:val="auto"/>
              </w:rPr>
            </w:pPr>
          </w:p>
        </w:tc>
        <w:tc>
          <w:tcPr>
            <w:tcW w:w="160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72"/>
              </w:rPr>
              <w:t>$</w:t>
            </w:r>
          </w:p>
        </w:tc>
        <w:tc>
          <w:tcPr>
            <w:tcW w:w="620" w:type="dxa"/>
            <w:vAlign w:val="bottom"/>
            <w:vMerge w:val="continue"/>
          </w:tcPr>
          <w:p>
            <w:pPr>
              <w:spacing w:after="0"/>
              <w:rPr>
                <w:sz w:val="23"/>
                <w:szCs w:val="23"/>
                <w:color w:val="auto"/>
              </w:rPr>
            </w:pPr>
          </w:p>
        </w:tc>
        <w:tc>
          <w:tcPr>
            <w:tcW w:w="1960" w:type="dxa"/>
            <w:vAlign w:val="bottom"/>
          </w:tcPr>
          <w:p>
            <w:pPr>
              <w:jc w:val="right"/>
              <w:ind w:right="1752"/>
              <w:spacing w:after="0"/>
              <w:rPr>
                <w:sz w:val="20"/>
                <w:szCs w:val="20"/>
                <w:color w:val="auto"/>
              </w:rPr>
            </w:pPr>
            <w:r>
              <w:rPr>
                <w:rFonts w:ascii="Times New Roman" w:cs="Times New Roman" w:eastAsia="Times New Roman" w:hAnsi="Times New Roman"/>
                <w:sz w:val="22"/>
                <w:szCs w:val="22"/>
                <w:color w:val="auto"/>
                <w:w w:val="72"/>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120650</wp:posOffset>
            </wp:positionV>
            <wp:extent cx="264858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9">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86" w:lineRule="exact"/>
        <w:rPr>
          <w:sz w:val="20"/>
          <w:szCs w:val="20"/>
          <w:color w:val="auto"/>
        </w:rPr>
      </w:pPr>
    </w:p>
    <w:p>
      <w:pPr>
        <w:ind w:firstLine="636"/>
        <w:spacing w:after="0" w:line="236" w:lineRule="auto"/>
        <w:rPr>
          <w:sz w:val="20"/>
          <w:szCs w:val="20"/>
          <w:color w:val="auto"/>
        </w:rPr>
      </w:pPr>
      <w:r>
        <w:rPr>
          <w:rFonts w:ascii="Times New Roman" w:cs="Times New Roman" w:eastAsia="Times New Roman" w:hAnsi="Times New Roman"/>
          <w:sz w:val="22"/>
          <w:szCs w:val="22"/>
          <w:color w:val="auto"/>
        </w:rPr>
        <w:t>By this exercise, I agree (i) to provide such additional documents as you may require pursuant to the terms of the Kyntra Bio, Inc. 2014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[Signature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3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-160020</wp:posOffset>
            </wp:positionV>
            <wp:extent cx="284607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-160020</wp:posOffset>
            </wp:positionV>
            <wp:extent cx="284607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2">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7"/>
          <w:szCs w:val="17"/>
          <w:b w:val="1"/>
          <w:bCs w:val="1"/>
          <w:color w:val="auto"/>
        </w:rPr>
        <w:t>NIT</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7"/>
          <w:szCs w:val="17"/>
          <w:b w:val="1"/>
          <w:bCs w:val="1"/>
          <w:color w:val="auto"/>
        </w:rPr>
        <w:t>RANT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OTICE</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w:t>
      </w:r>
    </w:p>
    <w:p>
      <w:pPr>
        <w:spacing w:after="0" w:line="17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2"/>
          <w:szCs w:val="22"/>
          <w:color w:val="auto"/>
        </w:rPr>
        <w:t>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its 2014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hereby awards to Participant a Restricted Stock Unit Award for the number of shares of the Company’s Common Stock (“</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color w:val="auto"/>
        </w:rPr>
        <w:t>”) set forth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The Award is subject to all of the terms and conditions as set forth in this notice of grant (this “</w:t>
      </w:r>
      <w:r>
        <w:rPr>
          <w:rFonts w:ascii="Times New Roman" w:cs="Times New Roman" w:eastAsia="Times New Roman" w:hAnsi="Times New Roman"/>
          <w:sz w:val="22"/>
          <w:szCs w:val="22"/>
          <w:b w:val="1"/>
          <w:bCs w:val="1"/>
          <w:i w:val="1"/>
          <w:iCs w:val="1"/>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Stock Unit Grant Notice</w:t>
      </w:r>
      <w:r>
        <w:rPr>
          <w:rFonts w:ascii="Times New Roman" w:cs="Times New Roman" w:eastAsia="Times New Roman" w:hAnsi="Times New Roman"/>
          <w:sz w:val="22"/>
          <w:szCs w:val="22"/>
          <w:color w:val="auto"/>
        </w:rPr>
        <w:t>”) and in the Plan and the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224" w:name="page225"/>
    <w:bookmarkEnd w:id="224"/>
    <w:p>
      <w:pPr>
        <w:spacing w:after="0" w:line="1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Agreement (the “</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which are incorporated herein in their entirety. Capitalized terms not otherwise defined herein shall have the meanings set forth in the Plan or the Award Agreement. In the event of any conflict between the terms in the Award Agreement and the Plan, the terms of the Plan shall control.</w:t>
      </w: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10795</wp:posOffset>
            </wp:positionV>
            <wp:extent cx="307721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wp:posOffset>
            </wp:positionV>
            <wp:extent cx="307721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wp:posOffset>
            </wp:positionV>
            <wp:extent cx="307721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wp:posOffset>
            </wp:positionV>
            <wp:extent cx="307721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wp:posOffset>
            </wp:positionV>
            <wp:extent cx="307721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22"/>
          <w:szCs w:val="22"/>
          <w:color w:val="auto"/>
        </w:rPr>
        <w:t>Number of Restricted Stock Units/Shares: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wp:posOffset>
            </wp:positionV>
            <wp:extent cx="307721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700" w:right="760" w:hanging="2699"/>
        <w:spacing w:after="0" w:line="258" w:lineRule="auto"/>
        <w:tabs>
          <w:tab w:leader="none" w:pos="2680" w:val="left"/>
        </w:tabs>
        <w:rPr>
          <w:sz w:val="20"/>
          <w:szCs w:val="20"/>
          <w:color w:val="auto"/>
        </w:rPr>
      </w:pPr>
      <w:r>
        <w:rPr>
          <w:rFonts w:ascii="Times New Roman" w:cs="Times New Roman" w:eastAsia="Times New Roman" w:hAnsi="Times New Roman"/>
          <w:sz w:val="22"/>
          <w:szCs w:val="22"/>
          <w:b w:val="1"/>
          <w:bCs w:val="1"/>
          <w:color w:val="auto"/>
        </w:rPr>
        <w:t>Vesting Schedule:</w:t>
      </w:r>
      <w:r>
        <w:rPr>
          <w:sz w:val="20"/>
          <w:szCs w:val="20"/>
          <w:color w:val="auto"/>
        </w:rPr>
        <w:tab/>
      </w:r>
      <w:r>
        <w:rPr>
          <w:rFonts w:ascii="Times New Roman" w:cs="Times New Roman" w:eastAsia="Times New Roman" w:hAnsi="Times New Roman"/>
          <w:sz w:val="22"/>
          <w:szCs w:val="22"/>
          <w:color w:val="auto"/>
        </w:rPr>
        <w:t>Subject to Section 9(c) of the Plan, the shares subject to the Award shall vest as follows: [ ], subject to Participant’s Continuous Service on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-196215</wp:posOffset>
            </wp:positionV>
            <wp:extent cx="4889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1">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5" w:lineRule="exact"/>
        <w:rPr>
          <w:sz w:val="20"/>
          <w:szCs w:val="20"/>
          <w:color w:val="auto"/>
        </w:rPr>
      </w:pPr>
    </w:p>
    <w:p>
      <w:pPr>
        <w:ind w:left="2700" w:right="80" w:hanging="2699"/>
        <w:spacing w:after="0" w:line="244" w:lineRule="auto"/>
        <w:tabs>
          <w:tab w:leader="none" w:pos="2680" w:val="left"/>
        </w:tabs>
        <w:rPr>
          <w:sz w:val="20"/>
          <w:szCs w:val="20"/>
          <w:color w:val="auto"/>
        </w:rPr>
      </w:pPr>
      <w:r>
        <w:rPr>
          <w:rFonts w:ascii="Times New Roman" w:cs="Times New Roman" w:eastAsia="Times New Roman" w:hAnsi="Times New Roman"/>
          <w:sz w:val="22"/>
          <w:szCs w:val="22"/>
          <w:b w:val="1"/>
          <w:bCs w:val="1"/>
          <w:color w:val="auto"/>
        </w:rPr>
        <w:t>Issuance Schedule:</w:t>
      </w:r>
      <w:r>
        <w:rPr>
          <w:sz w:val="20"/>
          <w:szCs w:val="20"/>
          <w:color w:val="auto"/>
        </w:rPr>
        <w:tab/>
      </w:r>
      <w:r>
        <w:rPr>
          <w:rFonts w:ascii="Times New Roman" w:cs="Times New Roman" w:eastAsia="Times New Roman" w:hAnsi="Times New Roman"/>
          <w:sz w:val="22"/>
          <w:szCs w:val="22"/>
          <w:color w:val="auto"/>
        </w:rPr>
        <w:t>Subject to any change on a Capitalization Adjustment, one share of Common Stock will be issued for each Restricted Stock Unit that vests at the time set forth in Section 6 of the Award Agreement.</w:t>
      </w:r>
    </w:p>
    <w:p>
      <w:pPr>
        <w:spacing w:after="0" w:line="17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Additional Terms/Acknowledgements: </w:t>
      </w:r>
      <w:r>
        <w:rPr>
          <w:rFonts w:ascii="Times New Roman" w:cs="Times New Roman" w:eastAsia="Times New Roman" w:hAnsi="Times New Roman"/>
          <w:sz w:val="21"/>
          <w:szCs w:val="21"/>
          <w:color w:val="auto"/>
        </w:rPr>
        <w:t>Participant acknowledges receipt of, and understands and agrees to, this Restricted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Unit Grant Notice, the 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the written employment agreement or offer letter agreement entered into between the Company and Participant specifying the terms that should govern this specific Award, and (ii) any compensation recovery policy that is adopted by the Company or is otherwise required by applicable law.</w:t>
      </w:r>
    </w:p>
    <w:p>
      <w:pPr>
        <w:spacing w:after="0" w:line="174" w:lineRule="exact"/>
        <w:rPr>
          <w:sz w:val="20"/>
          <w:szCs w:val="20"/>
          <w:color w:val="auto"/>
        </w:rPr>
      </w:pPr>
    </w:p>
    <w:p>
      <w:pPr>
        <w:jc w:val="center"/>
        <w:ind w:right="-19"/>
        <w:spacing w:after="0"/>
        <w:tabs>
          <w:tab w:leader="none" w:pos="420" w:val="left"/>
          <w:tab w:leader="none" w:pos="4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THER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1140" w:type="dxa"/>
            <w:vAlign w:val="bottom"/>
          </w:tcPr>
          <w:p>
            <w:pPr>
              <w:spacing w:after="0"/>
              <w:rPr>
                <w:sz w:val="23"/>
                <w:szCs w:val="23"/>
                <w:color w:val="auto"/>
              </w:rPr>
            </w:pPr>
          </w:p>
        </w:tc>
        <w:tc>
          <w:tcPr>
            <w:tcW w:w="4780" w:type="dxa"/>
            <w:vAlign w:val="bottom"/>
          </w:tcPr>
          <w:p>
            <w:pPr>
              <w:spacing w:after="0"/>
              <w:rPr>
                <w:sz w:val="23"/>
                <w:szCs w:val="23"/>
                <w:color w:val="auto"/>
              </w:rPr>
            </w:pPr>
          </w:p>
        </w:tc>
      </w:tr>
      <w:tr>
        <w:trPr>
          <w:trHeight w:val="276"/>
        </w:trPr>
        <w:tc>
          <w:tcPr>
            <w:tcW w:w="720" w:type="dxa"/>
            <w:vAlign w:val="bottom"/>
          </w:tcPr>
          <w:p>
            <w:pPr>
              <w:spacing w:after="0"/>
              <w:rPr>
                <w:sz w:val="23"/>
                <w:szCs w:val="23"/>
                <w:color w:val="auto"/>
              </w:rPr>
            </w:pPr>
          </w:p>
        </w:tc>
        <w:tc>
          <w:tcPr>
            <w:tcW w:w="4600" w:type="dxa"/>
            <w:vAlign w:val="bottom"/>
            <w:tcBorders>
              <w:top w:val="single" w:sz="8" w:color="auto"/>
            </w:tcBorders>
          </w:tcPr>
          <w:p>
            <w:pPr>
              <w:ind w:left="1900"/>
              <w:spacing w:after="0"/>
              <w:rPr>
                <w:sz w:val="20"/>
                <w:szCs w:val="20"/>
                <w:color w:val="auto"/>
              </w:rPr>
            </w:pPr>
            <w:r>
              <w:rPr>
                <w:rFonts w:ascii="Times New Roman" w:cs="Times New Roman" w:eastAsia="Times New Roman" w:hAnsi="Times New Roman"/>
                <w:sz w:val="22"/>
                <w:szCs w:val="22"/>
                <w:color w:val="auto"/>
              </w:rPr>
              <w:t>Signature</w:t>
            </w:r>
          </w:p>
        </w:tc>
        <w:tc>
          <w:tcPr>
            <w:tcW w:w="1140" w:type="dxa"/>
            <w:vAlign w:val="bottom"/>
          </w:tcPr>
          <w:p>
            <w:pPr>
              <w:spacing w:after="0"/>
              <w:rPr>
                <w:sz w:val="23"/>
                <w:szCs w:val="23"/>
                <w:color w:val="auto"/>
              </w:rPr>
            </w:pPr>
          </w:p>
        </w:tc>
        <w:tc>
          <w:tcPr>
            <w:tcW w:w="478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22"/>
                <w:szCs w:val="22"/>
                <w:color w:val="auto"/>
              </w:rPr>
              <w:t>Signature</w:t>
            </w:r>
          </w:p>
        </w:tc>
      </w:tr>
      <w:tr>
        <w:trPr>
          <w:trHeight w:val="43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600" w:type="dxa"/>
            <w:vAlign w:val="bottom"/>
            <w:tcBorders>
              <w:bottom w:val="single" w:sz="8" w:color="auto"/>
            </w:tcBorders>
          </w:tcPr>
          <w:p>
            <w:pPr>
              <w:spacing w:after="0"/>
              <w:rPr>
                <w:sz w:val="24"/>
                <w:szCs w:val="24"/>
                <w:color w:val="auto"/>
              </w:rPr>
            </w:pPr>
          </w:p>
        </w:tc>
        <w:tc>
          <w:tcPr>
            <w:tcW w:w="11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Date:</w:t>
            </w:r>
          </w:p>
        </w:tc>
        <w:tc>
          <w:tcPr>
            <w:tcW w:w="478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-5715</wp:posOffset>
            </wp:positionV>
            <wp:extent cx="292290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TTACHMENTS</w:t>
      </w:r>
      <w:r>
        <w:rPr>
          <w:rFonts w:ascii="Times New Roman" w:cs="Times New Roman" w:eastAsia="Times New Roman" w:hAnsi="Times New Roman"/>
          <w:sz w:val="22"/>
          <w:szCs w:val="22"/>
          <w:color w:val="auto"/>
        </w:rPr>
        <w: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KYNTRA BIO,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7"/>
          <w:szCs w:val="17"/>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Pursuant to the Restricted Stock Unit Grant Notice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and this Restricted Stock Unit Award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Kyntra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you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a Restricted Stock Unit Award (this</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pursuant to Section 6(b) of the Company’s 2014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for the number of Restricted Stock</w:t>
      </w:r>
    </w:p>
    <w:p>
      <w:pPr>
        <w:spacing w:after="0" w:line="231" w:lineRule="auto"/>
        <w:rPr>
          <w:sz w:val="20"/>
          <w:szCs w:val="20"/>
          <w:color w:val="auto"/>
        </w:rPr>
      </w:pPr>
      <w:r>
        <w:rPr>
          <w:rFonts w:ascii="Times New Roman" w:cs="Times New Roman" w:eastAsia="Times New Roman" w:hAnsi="Times New Roman"/>
          <w:sz w:val="22"/>
          <w:szCs w:val="22"/>
          <w:color w:val="auto"/>
        </w:rPr>
        <w:t>Units/shares indicated in the Grant Notice. Capitalized terms not explicitly defined in this Agreement or the Grant Notice shall</w:t>
      </w:r>
    </w:p>
    <w:p>
      <w:pPr>
        <w:spacing w:after="0" w:line="231" w:lineRule="auto"/>
        <w:rPr>
          <w:sz w:val="20"/>
          <w:szCs w:val="20"/>
          <w:color w:val="auto"/>
        </w:rPr>
      </w:pPr>
      <w:r>
        <w:rPr>
          <w:rFonts w:ascii="Times New Roman" w:cs="Times New Roman" w:eastAsia="Times New Roman" w:hAnsi="Times New Roman"/>
          <w:sz w:val="22"/>
          <w:szCs w:val="22"/>
          <w:color w:val="auto"/>
        </w:rPr>
        <w:t>have the same meanings given to them in the Plan. The terms of your Award, in addition to those set forth in the Grant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are as follows.</w:t>
      </w:r>
    </w:p>
    <w:p>
      <w:pPr>
        <w:spacing w:after="0" w:line="178" w:lineRule="exact"/>
        <w:rPr>
          <w:sz w:val="20"/>
          <w:szCs w:val="20"/>
          <w:color w:val="auto"/>
        </w:rPr>
      </w:pPr>
    </w:p>
    <w:p>
      <w:pPr>
        <w:ind w:right="40" w:firstLine="644"/>
        <w:spacing w:after="0" w:line="238" w:lineRule="auto"/>
        <w:tabs>
          <w:tab w:leader="none" w:pos="852" w:val="left"/>
        </w:tabs>
        <w:numPr>
          <w:ilvl w:val="0"/>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RANT OF THE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represents the right to be issued on a future date one (1) share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 w:cs="Times New Roman" w:eastAsia="Times New Roman" w:hAnsi="Times New Roman"/>
          <w:sz w:val="22"/>
          <w:szCs w:val="22"/>
          <w:b w:val="1"/>
          <w:bCs w:val="1"/>
          <w:i w:val="1"/>
          <w:iCs w:val="1"/>
          <w:color w:val="auto"/>
        </w:rPr>
        <w:t>Account</w:t>
      </w:r>
      <w:r>
        <w:rPr>
          <w:rFonts w:ascii="Times New Roman" w:cs="Times New Roman" w:eastAsia="Times New Roman" w:hAnsi="Times New Roman"/>
          <w:sz w:val="22"/>
          <w:szCs w:val="22"/>
          <w:color w:val="auto"/>
        </w:rPr>
        <w:t>”) the number of Restricted Stock Units/shares of Common Stock subject to this Award. This Award was granted in consideration of your services to the Company.</w:t>
      </w:r>
    </w:p>
    <w:p>
      <w:pPr>
        <w:spacing w:after="0" w:line="176" w:lineRule="exact"/>
        <w:rPr>
          <w:rFonts w:ascii="Times New Roman" w:cs="Times New Roman" w:eastAsia="Times New Roman" w:hAnsi="Times New Roman"/>
          <w:sz w:val="22"/>
          <w:szCs w:val="22"/>
          <w:b w:val="1"/>
          <w:bCs w:val="1"/>
          <w:color w:val="auto"/>
        </w:rPr>
      </w:pPr>
    </w:p>
    <w:p>
      <w:pPr>
        <w:ind w:right="220" w:firstLine="644"/>
        <w:spacing w:after="0" w:line="238" w:lineRule="auto"/>
        <w:tabs>
          <w:tab w:leader="none" w:pos="852" w:val="left"/>
        </w:tabs>
        <w:numPr>
          <w:ilvl w:val="0"/>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7"/>
          <w:szCs w:val="17"/>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limitations contained herein, your Award will vest, if at all, in accordance with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76" w:lineRule="exact"/>
        <w:rPr>
          <w:rFonts w:ascii="Times New Roman" w:cs="Times New Roman" w:eastAsia="Times New Roman" w:hAnsi="Times New Roman"/>
          <w:sz w:val="22"/>
          <w:szCs w:val="22"/>
          <w:b w:val="1"/>
          <w:bCs w:val="1"/>
          <w:color w:val="auto"/>
        </w:rPr>
      </w:pPr>
    </w:p>
    <w:p>
      <w:pPr>
        <w:ind w:right="100" w:firstLine="644"/>
        <w:spacing w:after="0" w:line="236" w:lineRule="auto"/>
        <w:tabs>
          <w:tab w:leader="none" w:pos="852" w:val="left"/>
        </w:tabs>
        <w:numPr>
          <w:ilvl w:val="0"/>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UMBER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Restricted Stock Units/shares subject to your Award may be adjusted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for Capitalization Adjustments, as provided in the Plan. Any additional Restricted Stock Units, shares, cash or other property that becomes subject to this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6" w:name="page227"/>
    <w:bookmarkEnd w:id="226"/>
    <w:p>
      <w:pPr>
        <w:spacing w:after="0" w:line="181" w:lineRule="exact"/>
        <w:rPr>
          <w:sz w:val="20"/>
          <w:szCs w:val="20"/>
          <w:color w:val="auto"/>
        </w:rPr>
      </w:pPr>
    </w:p>
    <w:p>
      <w:pPr>
        <w:jc w:val="both"/>
        <w:ind w:left="-40" w:right="140" w:firstLine="644"/>
        <w:spacing w:after="0" w:line="252" w:lineRule="auto"/>
        <w:tabs>
          <w:tab w:leader="none" w:pos="812" w:val="left"/>
        </w:tabs>
        <w:numPr>
          <w:ilvl w:val="0"/>
          <w:numId w:val="2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6"/>
          <w:szCs w:val="16"/>
          <w:b w:val="1"/>
          <w:bCs w:val="1"/>
          <w:color w:val="auto"/>
        </w:rPr>
        <w:t>ECURITIES</w:t>
      </w:r>
      <w:r>
        <w:rPr>
          <w:rFonts w:ascii="Times New Roman" w:cs="Times New Roman" w:eastAsia="Times New Roman" w:hAnsi="Times New Roman"/>
          <w:sz w:val="21"/>
          <w:szCs w:val="21"/>
          <w:b w:val="1"/>
          <w:bCs w:val="1"/>
          <w:color w:val="auto"/>
        </w:rPr>
        <w:t xml:space="preserve"> L</w:t>
      </w:r>
      <w:r>
        <w:rPr>
          <w:rFonts w:ascii="Times New Roman" w:cs="Times New Roman" w:eastAsia="Times New Roman" w:hAnsi="Times New Roman"/>
          <w:sz w:val="16"/>
          <w:szCs w:val="16"/>
          <w:b w:val="1"/>
          <w:bCs w:val="1"/>
          <w:color w:val="auto"/>
        </w:rPr>
        <w:t>AW</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6"/>
          <w:szCs w:val="16"/>
          <w:b w:val="1"/>
          <w:bCs w:val="1"/>
          <w:color w:val="auto"/>
        </w:rPr>
        <w:t>OMPLIANCE</w:t>
      </w:r>
      <w:r>
        <w:rPr>
          <w:rFonts w:ascii="Times New Roman" w:cs="Times New Roman" w:eastAsia="Times New Roman" w:hAnsi="Times New Roman"/>
          <w:sz w:val="21"/>
          <w:szCs w:val="21"/>
          <w:color w:val="auto"/>
        </w:rPr>
        <w:t>. You may not be issued any Common Stock under your Award unless the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323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0" w:right="100" w:firstLine="644"/>
        <w:spacing w:after="0" w:line="238" w:lineRule="auto"/>
        <w:tabs>
          <w:tab w:leader="none" w:pos="812" w:val="left"/>
        </w:tabs>
        <w:numPr>
          <w:ilvl w:val="0"/>
          <w:numId w:val="2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RANSFER</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ESTRICTIONS</w:t>
      </w:r>
      <w:r>
        <w:rPr>
          <w:rFonts w:ascii="Times New Roman" w:cs="Times New Roman" w:eastAsia="Times New Roman" w:hAnsi="Times New Roman"/>
          <w:sz w:val="22"/>
          <w:szCs w:val="22"/>
          <w:color w:val="auto"/>
        </w:rPr>
        <w:t>. Prior to the time that shares of Common Stock have been delivered to you, you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76" w:lineRule="exact"/>
        <w:rPr>
          <w:rFonts w:ascii="Times New Roman" w:cs="Times New Roman" w:eastAsia="Times New Roman" w:hAnsi="Times New Roman"/>
          <w:sz w:val="22"/>
          <w:szCs w:val="22"/>
          <w:b w:val="1"/>
          <w:bCs w:val="1"/>
          <w:color w:val="auto"/>
        </w:rPr>
      </w:pPr>
    </w:p>
    <w:p>
      <w:pPr>
        <w:jc w:val="both"/>
        <w:ind w:left="-40" w:right="180" w:firstLine="1281"/>
        <w:spacing w:after="0" w:line="246" w:lineRule="auto"/>
        <w:tabs>
          <w:tab w:leader="none" w:pos="1539" w:val="left"/>
        </w:tabs>
        <w:numPr>
          <w:ilvl w:val="1"/>
          <w:numId w:val="2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Your Award is transferable by will and by the laws of descent and distribution. At your death,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your Award will cease and your executor or administrator of your estate shall be entitled to receive, on behalf of your estate, any Common Stock or other consideration that vested but was not issued before your death.</w:t>
      </w:r>
    </w:p>
    <w:p>
      <w:pPr>
        <w:spacing w:after="0" w:line="167" w:lineRule="exact"/>
        <w:rPr>
          <w:rFonts w:ascii="Times New Roman" w:cs="Times New Roman" w:eastAsia="Times New Roman" w:hAnsi="Times New Roman"/>
          <w:sz w:val="22"/>
          <w:szCs w:val="22"/>
          <w:b w:val="1"/>
          <w:bCs w:val="1"/>
          <w:color w:val="auto"/>
        </w:rPr>
      </w:pPr>
    </w:p>
    <w:p>
      <w:pPr>
        <w:ind w:left="-40" w:firstLine="1281"/>
        <w:spacing w:after="0" w:line="248" w:lineRule="auto"/>
        <w:tabs>
          <w:tab w:leader="none" w:pos="1551" w:val="left"/>
        </w:tabs>
        <w:numPr>
          <w:ilvl w:val="1"/>
          <w:numId w:val="2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Domestic Relations Orders. </w:t>
      </w:r>
      <w:r>
        <w:rPr>
          <w:rFonts w:ascii="Times New Roman" w:cs="Times New Roman" w:eastAsia="Times New Roman" w:hAnsi="Times New Roman"/>
          <w:sz w:val="21"/>
          <w:szCs w:val="21"/>
          <w:color w:val="auto"/>
        </w:rPr>
        <w:t>Upon receiving written permission from the Board or its duly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or marital settlement agreement that contains the information required by the Company to effectuate the transfer. You are encouraged to discuss the proposed terms of any division of this Award with the Company’s stock plan administrator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278" w:lineRule="exact"/>
        <w:rPr>
          <w:rFonts w:ascii="Times New Roman" w:cs="Times New Roman" w:eastAsia="Times New Roman" w:hAnsi="Times New Roman"/>
          <w:sz w:val="21"/>
          <w:szCs w:val="21"/>
          <w:b w:val="1"/>
          <w:bCs w:val="1"/>
          <w:color w:val="auto"/>
        </w:rPr>
      </w:pPr>
    </w:p>
    <w:p>
      <w:pPr>
        <w:ind w:left="820" w:hanging="216"/>
        <w:spacing w:after="0"/>
        <w:tabs>
          <w:tab w:leader="none" w:pos="820" w:val="left"/>
        </w:tabs>
        <w:numPr>
          <w:ilvl w:val="0"/>
          <w:numId w:val="2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7"/>
          <w:szCs w:val="17"/>
          <w:b w:val="1"/>
          <w:bCs w:val="1"/>
          <w:color w:val="auto"/>
        </w:rPr>
        <w:t>ATE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SSUANCE</w:t>
      </w:r>
      <w:r>
        <w:rPr>
          <w:rFonts w:ascii="Times New Roman" w:cs="Times New Roman" w:eastAsia="Times New Roman" w:hAnsi="Times New Roman"/>
          <w:sz w:val="22"/>
          <w:szCs w:val="22"/>
          <w:b w:val="1"/>
          <w:bCs w:val="1"/>
          <w:color w:val="auto"/>
        </w:rPr>
        <w:t>.</w:t>
      </w:r>
    </w:p>
    <w:p>
      <w:pPr>
        <w:spacing w:after="0" w:line="102" w:lineRule="exact"/>
        <w:rPr>
          <w:rFonts w:ascii="Times New Roman" w:cs="Times New Roman" w:eastAsia="Times New Roman" w:hAnsi="Times New Roman"/>
          <w:sz w:val="22"/>
          <w:szCs w:val="22"/>
          <w:b w:val="1"/>
          <w:bCs w:val="1"/>
          <w:color w:val="auto"/>
        </w:rPr>
      </w:pPr>
    </w:p>
    <w:p>
      <w:pPr>
        <w:ind w:left="-40" w:right="60" w:firstLine="1281"/>
        <w:spacing w:after="0" w:line="238" w:lineRule="auto"/>
        <w:tabs>
          <w:tab w:leader="none" w:pos="1539" w:val="left"/>
        </w:tabs>
        <w:numPr>
          <w:ilvl w:val="1"/>
          <w:numId w:val="2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Subject to the satisfaction of the withholding obligations set forth in Section 11 of this Agreement and subject to Section 6(b) below, in the event that one or more Restricted Stock Units vests, the Company shall issue to you, on the applicable vesting date (subject to any adjustment under Section 3 above), one share of Common Stock for each Restricted Stock Unit that vests on the applicable vesting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date falls on a date that is not a business day, delivery will instead occur on the next business day.</w:t>
      </w:r>
    </w:p>
    <w:p>
      <w:pPr>
        <w:spacing w:after="0" w:line="176" w:lineRule="exact"/>
        <w:rPr>
          <w:rFonts w:ascii="Times New Roman" w:cs="Times New Roman" w:eastAsia="Times New Roman" w:hAnsi="Times New Roman"/>
          <w:sz w:val="22"/>
          <w:szCs w:val="22"/>
          <w:b w:val="1"/>
          <w:bCs w:val="1"/>
          <w:color w:val="auto"/>
        </w:rPr>
      </w:pPr>
    </w:p>
    <w:p>
      <w:pPr>
        <w:ind w:left="-40" w:right="160" w:firstLine="1281"/>
        <w:spacing w:after="0" w:line="238" w:lineRule="auto"/>
        <w:tabs>
          <w:tab w:leader="none" w:pos="1551" w:val="left"/>
        </w:tabs>
        <w:numPr>
          <w:ilvl w:val="1"/>
          <w:numId w:val="2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shares will be delivered on a date later than the applicable vesting date or its next following business day, if, to the extent applicable at a vesting date, (i) any shares covered by your Restricted Stock Units are scheduled to be delivered on a date (the “</w:t>
      </w:r>
      <w:r>
        <w:rPr>
          <w:rFonts w:ascii="Times New Roman" w:cs="Times New Roman" w:eastAsia="Times New Roman" w:hAnsi="Times New Roman"/>
          <w:sz w:val="22"/>
          <w:szCs w:val="22"/>
          <w:b w:val="1"/>
          <w:bCs w:val="1"/>
          <w:i w:val="1"/>
          <w:iCs w:val="1"/>
          <w:color w:val="auto"/>
        </w:rPr>
        <w:t>Original Distribution Date</w:t>
      </w:r>
      <w:r>
        <w:rPr>
          <w:rFonts w:ascii="Times New Roman" w:cs="Times New Roman" w:eastAsia="Times New Roman" w:hAnsi="Times New Roman"/>
          <w:sz w:val="22"/>
          <w:szCs w:val="22"/>
          <w:color w:val="auto"/>
        </w:rPr>
        <w:t>”) that does not occur: (A) during an open “window period” applicable to you, as determined by the Company in accordance with the Company’s then-effective policy on trading in Company securities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(B) on a date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871220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227" w:name="page228"/>
    <w:bookmarkEnd w:id="227"/>
    <w:p>
      <w:pPr>
        <w:spacing w:after="0" w:line="18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you are permitted to sell shares of Common Stock pursuant to a written plan that meets the requirements of Rule 10b5-1 under the Exchange Act, as determined by the Company in accordance with the Policy; (C) on a date when you are otherwise permitted to sell shares of Common Stock on the open market; or (D) during any applicable lock-up period under any lock-up agreement or market standoff agreement covering shares of Common Stock held by you; and (ii) the Company elects not to satisfy its tax withholding obligations by withholding shares pursuant to one of the methods permitted under Section 11, withholding from other compensation otherwise payable to you by the Company, or by permitting you to pay your Withholding Taxes in cash, then such shares will not be delivered on such Original Distribution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Date and will instead be delivered on the first business day when you are not prohibited from selling shares of the Company’s Common Stock in the open public market, but in no event later than the date that is the 15th day of the third calendar month of the year following the year in which the shares of Common Stock under this Award are no longer subject to a “substantial risk of forfeiture” within the meaning of Treasury Regulations Section 1.409A-1(d).</w:t>
      </w:r>
    </w:p>
    <w:p>
      <w:pPr>
        <w:spacing w:after="0" w:line="180" w:lineRule="exact"/>
        <w:rPr>
          <w:sz w:val="20"/>
          <w:szCs w:val="20"/>
          <w:color w:val="auto"/>
        </w:rPr>
      </w:pPr>
    </w:p>
    <w:p>
      <w:pPr>
        <w:ind w:right="140" w:firstLine="1281"/>
        <w:spacing w:after="0" w:line="244" w:lineRule="auto"/>
        <w:tabs>
          <w:tab w:leader="none" w:pos="1566" w:val="left"/>
        </w:tabs>
        <w:numPr>
          <w:ilvl w:val="1"/>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Delivery of the shares pursuant to the provisions of this Section 6 is intended to comply with the requirements for the short-term deferral exemption available under Treasury Regulations Section 1.409A-1(b)(4) and will be construed and administered in such manner.</w:t>
      </w:r>
    </w:p>
    <w:p>
      <w:pPr>
        <w:spacing w:after="0" w:line="173" w:lineRule="exact"/>
        <w:rPr>
          <w:rFonts w:ascii="Times New Roman" w:cs="Times New Roman" w:eastAsia="Times New Roman" w:hAnsi="Times New Roman"/>
          <w:sz w:val="22"/>
          <w:szCs w:val="22"/>
          <w:b w:val="1"/>
          <w:bCs w:val="1"/>
          <w:color w:val="auto"/>
        </w:rPr>
      </w:pPr>
    </w:p>
    <w:p>
      <w:pPr>
        <w:jc w:val="both"/>
        <w:ind w:right="120" w:firstLine="1281"/>
        <w:spacing w:after="0" w:line="251" w:lineRule="auto"/>
        <w:tabs>
          <w:tab w:leader="none" w:pos="1591" w:val="left"/>
        </w:tabs>
        <w:numPr>
          <w:ilvl w:val="1"/>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Company elects to issue you cash in part or in full satisfaction of the shares of Common Stock issuable upon vesting of your Restricted Stock Units, then the foregoing provisions of this Section 6 will not apply and such cash will be paid to you in a lump sum at any time on after the vesting date of your Restricted Stock Units, but in no event later than the 15th day of the third calendar month of the year following the year in which the shares of Common Stock under the Restricted Stock Units are no longer subject to a “substantial risk of forfeiture” within the meaning of Treasury Regulations Section 1.409A-1(d).</w:t>
      </w:r>
    </w:p>
    <w:p>
      <w:pPr>
        <w:spacing w:after="0" w:line="168" w:lineRule="exact"/>
        <w:rPr>
          <w:rFonts w:ascii="Times New Roman" w:cs="Times New Roman" w:eastAsia="Times New Roman" w:hAnsi="Times New Roman"/>
          <w:sz w:val="21"/>
          <w:szCs w:val="21"/>
          <w:b w:val="1"/>
          <w:bCs w:val="1"/>
          <w:color w:val="auto"/>
        </w:rPr>
      </w:pPr>
    </w:p>
    <w:p>
      <w:pPr>
        <w:ind w:left="1580" w:hanging="299"/>
        <w:spacing w:after="0"/>
        <w:tabs>
          <w:tab w:leader="none" w:pos="1580" w:val="left"/>
        </w:tabs>
        <w:numPr>
          <w:ilvl w:val="1"/>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form of delivery (e.g., a stock certificate or electronic entry evidencing such shares) shall be determined by</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 Company.</w:t>
      </w:r>
    </w:p>
    <w:p>
      <w:pPr>
        <w:spacing w:after="0" w:line="178" w:lineRule="exact"/>
        <w:rPr>
          <w:rFonts w:ascii="Times New Roman" w:cs="Times New Roman" w:eastAsia="Times New Roman" w:hAnsi="Times New Roman"/>
          <w:sz w:val="21"/>
          <w:szCs w:val="21"/>
          <w:b w:val="1"/>
          <w:bCs w:val="1"/>
          <w:color w:val="auto"/>
        </w:rPr>
      </w:pPr>
    </w:p>
    <w:p>
      <w:pPr>
        <w:ind w:right="720" w:firstLine="644"/>
        <w:spacing w:after="0" w:line="262" w:lineRule="auto"/>
        <w:tabs>
          <w:tab w:leader="none" w:pos="852"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7"/>
          <w:szCs w:val="17"/>
          <w:b w:val="1"/>
          <w:bCs w:val="1"/>
          <w:color w:val="auto"/>
        </w:rPr>
        <w:t>IVIDENDS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shall receive no benefit or adjustment to your Award with respect to any cash dividend,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or other distribution that does not result from a Capitalization Adjustment.</w:t>
      </w:r>
    </w:p>
    <w:p>
      <w:pPr>
        <w:spacing w:after="0" w:line="149" w:lineRule="exact"/>
        <w:rPr>
          <w:rFonts w:ascii="Times New Roman" w:cs="Times New Roman" w:eastAsia="Times New Roman" w:hAnsi="Times New Roman"/>
          <w:sz w:val="22"/>
          <w:szCs w:val="22"/>
          <w:b w:val="1"/>
          <w:bCs w:val="1"/>
          <w:color w:val="auto"/>
        </w:rPr>
      </w:pPr>
    </w:p>
    <w:p>
      <w:pPr>
        <w:ind w:right="220" w:firstLine="644"/>
        <w:spacing w:after="0" w:line="262" w:lineRule="auto"/>
        <w:tabs>
          <w:tab w:leader="none" w:pos="852"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ESTRICTIVE</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EGENDS</w:t>
      </w:r>
      <w:r>
        <w:rPr>
          <w:rFonts w:ascii="Times New Roman" w:cs="Times New Roman" w:eastAsia="Times New Roman" w:hAnsi="Times New Roman"/>
          <w:sz w:val="22"/>
          <w:szCs w:val="22"/>
          <w:color w:val="auto"/>
        </w:rPr>
        <w:t>. The shares of Common Stock issued under your Award shall be endorsed with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legends as determined by the Company.</w:t>
      </w:r>
    </w:p>
    <w:p>
      <w:pPr>
        <w:spacing w:after="0" w:line="149" w:lineRule="exact"/>
        <w:rPr>
          <w:rFonts w:ascii="Times New Roman" w:cs="Times New Roman" w:eastAsia="Times New Roman" w:hAnsi="Times New Roman"/>
          <w:sz w:val="22"/>
          <w:szCs w:val="22"/>
          <w:b w:val="1"/>
          <w:bCs w:val="1"/>
          <w:color w:val="auto"/>
        </w:rPr>
      </w:pPr>
    </w:p>
    <w:p>
      <w:pPr>
        <w:ind w:firstLine="644"/>
        <w:spacing w:after="0" w:line="241" w:lineRule="auto"/>
        <w:tabs>
          <w:tab w:leader="none" w:pos="852"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XECUTION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acknowledge and agree that the manner selected by the Company by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79" w:lineRule="exact"/>
        <w:rPr>
          <w:rFonts w:ascii="Times New Roman" w:cs="Times New Roman" w:eastAsia="Times New Roman" w:hAnsi="Times New Roman"/>
          <w:sz w:val="22"/>
          <w:szCs w:val="22"/>
          <w:b w:val="1"/>
          <w:bCs w:val="1"/>
          <w:color w:val="auto"/>
        </w:rPr>
      </w:pPr>
    </w:p>
    <w:p>
      <w:pPr>
        <w:ind w:left="960" w:hanging="316"/>
        <w:spacing w:after="0"/>
        <w:tabs>
          <w:tab w:leader="none" w:pos="960"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WARD NOT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ONTRACT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8" w:name="page229"/>
    <w:bookmarkEnd w:id="228"/>
    <w:p>
      <w:pPr>
        <w:spacing w:after="0" w:line="77" w:lineRule="exact"/>
        <w:rPr>
          <w:sz w:val="20"/>
          <w:szCs w:val="20"/>
          <w:color w:val="auto"/>
        </w:rPr>
      </w:pPr>
    </w:p>
    <w:p>
      <w:pPr>
        <w:ind w:left="-40" w:right="120" w:firstLine="1281"/>
        <w:spacing w:after="0" w:line="235" w:lineRule="auto"/>
        <w:tabs>
          <w:tab w:leader="none" w:pos="1539" w:val="left"/>
        </w:tabs>
        <w:numPr>
          <w:ilvl w:val="0"/>
          <w:numId w:val="2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in this Agreement (including, but not limited to, the vesting of your Award or the issuance of the shares subject to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323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 w:right="60" w:firstLine="1281"/>
        <w:spacing w:after="0" w:line="235" w:lineRule="auto"/>
        <w:tabs>
          <w:tab w:leader="none" w:pos="1551" w:val="left"/>
        </w:tabs>
        <w:numPr>
          <w:ilvl w:val="1"/>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the right to reorganize, sell, spin-out or otherwise restructure one or more of its businesses or Affiliates at any time or from time to time, as it deems appropriate (a “</w:t>
      </w:r>
      <w:r>
        <w:rPr>
          <w:rFonts w:ascii="Times New Roman" w:cs="Times New Roman" w:eastAsia="Times New Roman" w:hAnsi="Times New Roman"/>
          <w:sz w:val="22"/>
          <w:szCs w:val="22"/>
          <w:b w:val="1"/>
          <w:bCs w:val="1"/>
          <w:i w:val="1"/>
          <w:iCs w:val="1"/>
          <w:color w:val="auto"/>
        </w:rPr>
        <w:t>reorganization</w:t>
      </w:r>
      <w:r>
        <w:rPr>
          <w:rFonts w:ascii="Times New Roman" w:cs="Times New Roman" w:eastAsia="Times New Roman" w:hAnsi="Times New Roman"/>
          <w:sz w:val="22"/>
          <w:szCs w:val="22"/>
          <w:color w:val="auto"/>
        </w:rPr>
        <w: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conduct a reorganization.</w:t>
      </w:r>
    </w:p>
    <w:p>
      <w:pPr>
        <w:spacing w:after="0" w:line="282" w:lineRule="exact"/>
        <w:rPr>
          <w:rFonts w:ascii="Times New Roman" w:cs="Times New Roman" w:eastAsia="Times New Roman" w:hAnsi="Times New Roman"/>
          <w:sz w:val="22"/>
          <w:szCs w:val="22"/>
          <w:b w:val="1"/>
          <w:bCs w:val="1"/>
          <w:color w:val="auto"/>
        </w:rPr>
      </w:pPr>
    </w:p>
    <w:p>
      <w:pPr>
        <w:ind w:left="920" w:hanging="316"/>
        <w:spacing w:after="0"/>
        <w:tabs>
          <w:tab w:leader="none" w:pos="920"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BLIGATIONS</w:t>
      </w:r>
      <w:r>
        <w:rPr>
          <w:rFonts w:ascii="Times New Roman" w:cs="Times New Roman" w:eastAsia="Times New Roman" w:hAnsi="Times New Roman"/>
          <w:sz w:val="22"/>
          <w:szCs w:val="22"/>
          <w:b w:val="1"/>
          <w:bCs w:val="1"/>
          <w:color w:val="auto"/>
        </w:rPr>
        <w:t>.</w:t>
      </w:r>
    </w:p>
    <w:p>
      <w:pPr>
        <w:spacing w:after="0" w:line="102" w:lineRule="exact"/>
        <w:rPr>
          <w:rFonts w:ascii="Times New Roman" w:cs="Times New Roman" w:eastAsia="Times New Roman" w:hAnsi="Times New Roman"/>
          <w:sz w:val="22"/>
          <w:szCs w:val="22"/>
          <w:b w:val="1"/>
          <w:bCs w:val="1"/>
          <w:color w:val="auto"/>
        </w:rPr>
      </w:pPr>
    </w:p>
    <w:p>
      <w:pPr>
        <w:ind w:left="-40" w:firstLine="1281"/>
        <w:spacing w:after="0" w:line="244" w:lineRule="auto"/>
        <w:tabs>
          <w:tab w:leader="none" w:pos="1539" w:val="left"/>
        </w:tabs>
        <w:numPr>
          <w:ilvl w:val="1"/>
          <w:numId w:val="2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On the vesting date, and on or before the date on which you receive a distribution of the shares underlying your Restricted Stock Units, and at any other time as reasonably requested by the Company in accordance with applicable tax laws, you hereby authorize any required withholding from the Common Stock issuable to you and/or otherwise agree to make adequate provision in cash for any sums required to satisfy the federal, state, local and foreign tax withholding obligations of the Company or any Affiliate that arise in connection with the vesting and settlement of your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you to enter into a “same day sale” commitment, if applicable, with a broker-dealer that is a member of the Financial Industry Regulatory Authority (a “</w:t>
      </w:r>
      <w:r>
        <w:rPr>
          <w:rFonts w:ascii="Times New Roman" w:cs="Times New Roman" w:eastAsia="Times New Roman" w:hAnsi="Times New Roman"/>
          <w:sz w:val="21"/>
          <w:szCs w:val="21"/>
          <w:b w:val="1"/>
          <w:bCs w:val="1"/>
          <w:i w:val="1"/>
          <w:iCs w:val="1"/>
          <w:color w:val="auto"/>
        </w:rPr>
        <w:t>FINRA Dealer</w:t>
      </w:r>
      <w:r>
        <w:rPr>
          <w:rFonts w:ascii="Times New Roman" w:cs="Times New Roman" w:eastAsia="Times New Roman" w:hAnsi="Times New Roman"/>
          <w:sz w:val="21"/>
          <w:szCs w:val="21"/>
          <w:color w:val="auto"/>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number of such shares of Common Stock so withheld will not exceed the amount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872490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229" w:name="page230"/>
    <w:bookmarkEnd w:id="229"/>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 xml:space="preserve">to satisfy the Company’s required tax withholding obligations using the minimum statutory withholding rates for federal, state, local and foreign tax purposes, including payroll taxes, that are applicable to supplemental taxable income;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further, that to the extent necessary to qualify for an exemption from application of Section 16(b) of the Exchange Act, if applicable, such share withholding procedure will be subject to the express prior approval of the Company’s Compensation Committee.</w:t>
      </w:r>
    </w:p>
    <w:p>
      <w:pPr>
        <w:spacing w:after="0" w:line="162" w:lineRule="exact"/>
        <w:rPr>
          <w:sz w:val="20"/>
          <w:szCs w:val="20"/>
          <w:color w:val="auto"/>
        </w:rPr>
      </w:pPr>
    </w:p>
    <w:p>
      <w:pPr>
        <w:ind w:right="260" w:firstLine="1281"/>
        <w:spacing w:after="0" w:line="258" w:lineRule="auto"/>
        <w:tabs>
          <w:tab w:leader="none" w:pos="1591" w:val="left"/>
        </w:tabs>
        <w:numPr>
          <w:ilvl w:val="0"/>
          <w:numId w:val="2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the tax withholding obligations of the Company and/or any Affiliate are satisfied, the Company shall have no obligation to deliver to you any shares of Common Stock in settlement of any vested portion of your Award.</w:t>
      </w:r>
    </w:p>
    <w:p>
      <w:pPr>
        <w:spacing w:after="0" w:line="158" w:lineRule="exact"/>
        <w:rPr>
          <w:rFonts w:ascii="Times New Roman" w:cs="Times New Roman" w:eastAsia="Times New Roman" w:hAnsi="Times New Roman"/>
          <w:sz w:val="22"/>
          <w:szCs w:val="22"/>
          <w:b w:val="1"/>
          <w:bCs w:val="1"/>
          <w:color w:val="auto"/>
        </w:rPr>
      </w:pPr>
    </w:p>
    <w:p>
      <w:pPr>
        <w:ind w:right="120" w:firstLine="1281"/>
        <w:spacing w:after="0" w:line="258" w:lineRule="auto"/>
        <w:tabs>
          <w:tab w:leader="none" w:pos="1566" w:val="left"/>
        </w:tabs>
        <w:numPr>
          <w:ilvl w:val="0"/>
          <w:numId w:val="2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the Company’s obligation to withhold arises prior to the delivery to you of Common Stock or it is determined after the delivery of Common Stock to you</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that the amount of the Company’s withholding obligation was greater than the amount withheld by the Company, you agree to indemnify and hold the Company harmless from any failure by the Company to withhold the proper amount.</w:t>
      </w:r>
    </w:p>
    <w:p>
      <w:pPr>
        <w:spacing w:after="0" w:line="154" w:lineRule="exact"/>
        <w:rPr>
          <w:sz w:val="20"/>
          <w:szCs w:val="20"/>
          <w:color w:val="auto"/>
        </w:rPr>
      </w:pPr>
    </w:p>
    <w:p>
      <w:pPr>
        <w:ind w:right="180" w:firstLine="644"/>
        <w:spacing w:after="0" w:line="237" w:lineRule="auto"/>
        <w:tabs>
          <w:tab w:leader="none" w:pos="960" w:val="left"/>
        </w:tabs>
        <w:numPr>
          <w:ilvl w:val="0"/>
          <w:numId w:val="2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ONSEQUENCES</w:t>
      </w:r>
      <w:r>
        <w:rPr>
          <w:rFonts w:ascii="Times New Roman" w:cs="Times New Roman" w:eastAsia="Times New Roman" w:hAnsi="Times New Roman"/>
          <w:sz w:val="22"/>
          <w:szCs w:val="22"/>
          <w:color w:val="auto"/>
        </w:rPr>
        <w:t>. The Company has no duty or obligation to minimize the tax consequences to you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75" w:lineRule="exact"/>
        <w:rPr>
          <w:rFonts w:ascii="Times New Roman" w:cs="Times New Roman" w:eastAsia="Times New Roman" w:hAnsi="Times New Roman"/>
          <w:sz w:val="22"/>
          <w:szCs w:val="22"/>
          <w:b w:val="1"/>
          <w:bCs w:val="1"/>
          <w:color w:val="auto"/>
        </w:rPr>
      </w:pPr>
    </w:p>
    <w:p>
      <w:pPr>
        <w:ind w:right="40" w:firstLine="644"/>
        <w:spacing w:after="0" w:line="236" w:lineRule="auto"/>
        <w:tabs>
          <w:tab w:leader="none" w:pos="960" w:val="left"/>
        </w:tabs>
        <w:numPr>
          <w:ilvl w:val="0"/>
          <w:numId w:val="2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NSECURED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BLIGATION</w:t>
      </w:r>
      <w:r>
        <w:rPr>
          <w:rFonts w:ascii="Times New Roman" w:cs="Times New Roman" w:eastAsia="Times New Roman" w:hAnsi="Times New Roman"/>
          <w:sz w:val="22"/>
          <w:szCs w:val="22"/>
          <w:color w:val="auto"/>
        </w:rPr>
        <w:t>. Your Award is unfunded, and as a holder of a vested Award, you shall be considered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5" w:lineRule="exact"/>
        <w:rPr>
          <w:rFonts w:ascii="Times New Roman" w:cs="Times New Roman" w:eastAsia="Times New Roman" w:hAnsi="Times New Roman"/>
          <w:sz w:val="22"/>
          <w:szCs w:val="22"/>
          <w:b w:val="1"/>
          <w:bCs w:val="1"/>
          <w:color w:val="auto"/>
        </w:rPr>
      </w:pPr>
    </w:p>
    <w:p>
      <w:pPr>
        <w:ind w:right="20" w:firstLine="644"/>
        <w:spacing w:after="0" w:line="237" w:lineRule="auto"/>
        <w:tabs>
          <w:tab w:leader="none" w:pos="960" w:val="left"/>
        </w:tabs>
        <w:numPr>
          <w:ilvl w:val="0"/>
          <w:numId w:val="2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OTICES</w:t>
      </w:r>
      <w:r>
        <w:rPr>
          <w:rFonts w:ascii="Times New Roman" w:cs="Times New Roman" w:eastAsia="Times New Roman" w:hAnsi="Times New Roman"/>
          <w:sz w:val="22"/>
          <w:szCs w:val="22"/>
          <w:color w:val="auto"/>
        </w:rPr>
        <w:t>. Any notice or request required or permitted hereunder shall be given in writing to each of the other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and shall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at the following addresses, or at such other address(es) as a party may designate by ten (10) days’ advance written notice to each of 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1181735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0" w:name="page231"/>
    <w:bookmarkEnd w:id="230"/>
    <w:p>
      <w:pPr>
        <w:ind w:left="182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OMPANY</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Kyntra Bio,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30" w:lineRule="auto"/>
        <w:rPr>
          <w:sz w:val="20"/>
          <w:szCs w:val="20"/>
          <w:color w:val="auto"/>
        </w:rPr>
      </w:pPr>
      <w:r>
        <w:rPr>
          <w:rFonts w:ascii="Times New Roman" w:cs="Times New Roman" w:eastAsia="Times New Roman" w:hAnsi="Times New Roman"/>
          <w:sz w:val="22"/>
          <w:szCs w:val="22"/>
          <w:color w:val="auto"/>
        </w:rPr>
        <w:t>350 Bay Street</w:t>
      </w:r>
    </w:p>
    <w:p>
      <w:pPr>
        <w:spacing w:after="0" w:line="231" w:lineRule="auto"/>
        <w:rPr>
          <w:sz w:val="20"/>
          <w:szCs w:val="20"/>
          <w:color w:val="auto"/>
        </w:rPr>
      </w:pPr>
      <w:r>
        <w:rPr>
          <w:rFonts w:ascii="Times New Roman" w:cs="Times New Roman" w:eastAsia="Times New Roman" w:hAnsi="Times New Roman"/>
          <w:sz w:val="22"/>
          <w:szCs w:val="22"/>
          <w:color w:val="auto"/>
        </w:rPr>
        <w:t>Suite 100 #6009</w:t>
      </w:r>
    </w:p>
    <w:p>
      <w:pPr>
        <w:spacing w:after="0"/>
        <w:rPr>
          <w:sz w:val="20"/>
          <w:szCs w:val="20"/>
          <w:color w:val="auto"/>
        </w:rPr>
      </w:pPr>
      <w:r>
        <w:rPr>
          <w:rFonts w:ascii="Times New Roman" w:cs="Times New Roman" w:eastAsia="Times New Roman" w:hAnsi="Times New Roman"/>
          <w:sz w:val="21"/>
          <w:szCs w:val="21"/>
          <w:color w:val="auto"/>
        </w:rPr>
        <w:t>San Francisco, CA 94133</w:t>
      </w:r>
    </w:p>
    <w:p>
      <w:pPr>
        <w:spacing w:after="0" w:line="200" w:lineRule="exact"/>
        <w:rPr>
          <w:sz w:val="20"/>
          <w:szCs w:val="20"/>
          <w:color w:val="auto"/>
        </w:rPr>
      </w:pPr>
    </w:p>
    <w:p>
      <w:pPr>
        <w:sectPr>
          <w:pgSz w:w="11900" w:h="16838" w:orient="portrait"/>
          <w:cols w:equalWidth="0" w:num="2">
            <w:col w:w="3620" w:space="720"/>
            <w:col w:w="6900"/>
          </w:cols>
          <w:pgMar w:left="320" w:top="1404" w:right="339" w:bottom="1440" w:gutter="0" w:footer="0" w:header="0"/>
        </w:sectPr>
      </w:pPr>
    </w:p>
    <w:p>
      <w:pPr>
        <w:spacing w:after="0" w:line="3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ARTICIPANT</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Your address as on file with the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time notice is given</w:t>
      </w:r>
    </w:p>
    <w:p>
      <w:pPr>
        <w:spacing w:after="0" w:line="192" w:lineRule="exact"/>
        <w:rPr>
          <w:sz w:val="20"/>
          <w:szCs w:val="20"/>
          <w:color w:val="auto"/>
        </w:rPr>
      </w:pPr>
    </w:p>
    <w:p>
      <w:pPr>
        <w:sectPr>
          <w:pgSz w:w="11900" w:h="16838" w:orient="portrait"/>
          <w:cols w:equalWidth="0" w:num="2">
            <w:col w:w="3620" w:space="720"/>
            <w:col w:w="6900"/>
          </w:cols>
          <w:pgMar w:left="320" w:top="1404" w:right="339" w:bottom="1440" w:gutter="0" w:footer="0" w:header="0"/>
          <w:type w:val="continuous"/>
        </w:sectPr>
      </w:pPr>
    </w:p>
    <w:p>
      <w:pPr>
        <w:ind w:firstLine="644"/>
        <w:spacing w:after="0" w:line="262" w:lineRule="auto"/>
        <w:tabs>
          <w:tab w:leader="none" w:pos="960" w:val="left"/>
        </w:tabs>
        <w:numPr>
          <w:ilvl w:val="0"/>
          <w:numId w:val="2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7"/>
          <w:szCs w:val="17"/>
          <w:b w:val="1"/>
          <w:bCs w:val="1"/>
          <w:color w:val="auto"/>
        </w:rPr>
        <w:t>EADINGS</w:t>
      </w:r>
      <w:r>
        <w:rPr>
          <w:rFonts w:ascii="Times New Roman" w:cs="Times New Roman" w:eastAsia="Times New Roman" w:hAnsi="Times New Roman"/>
          <w:sz w:val="22"/>
          <w:szCs w:val="22"/>
          <w:color w:val="auto"/>
        </w:rPr>
        <w:t>. The headings of the Sections in this Agreement are inserted for convenience only and shall not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constitute a part of this Agreement or to affect the meaning of this Agreement.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960" w:hanging="316"/>
        <w:spacing w:after="0"/>
        <w:tabs>
          <w:tab w:leader="none" w:pos="960" w:val="left"/>
        </w:tabs>
        <w:numPr>
          <w:ilvl w:val="0"/>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7"/>
          <w:szCs w:val="17"/>
          <w:b w:val="1"/>
          <w:bCs w:val="1"/>
          <w:color w:val="auto"/>
        </w:rPr>
        <w:t>ISCELLANEOUS</w:t>
      </w:r>
      <w:r>
        <w:rPr>
          <w:rFonts w:ascii="Times New Roman" w:cs="Times New Roman" w:eastAsia="Times New Roman" w:hAnsi="Times New Roman"/>
          <w:sz w:val="22"/>
          <w:szCs w:val="22"/>
          <w:color w:val="auto"/>
        </w:rPr>
        <w:t>.</w:t>
      </w:r>
    </w:p>
    <w:p>
      <w:pPr>
        <w:spacing w:after="0" w:line="102" w:lineRule="exact"/>
        <w:rPr>
          <w:rFonts w:ascii="Times New Roman" w:cs="Times New Roman" w:eastAsia="Times New Roman" w:hAnsi="Times New Roman"/>
          <w:sz w:val="22"/>
          <w:szCs w:val="22"/>
          <w:b w:val="1"/>
          <w:bCs w:val="1"/>
          <w:color w:val="auto"/>
        </w:rPr>
      </w:pPr>
    </w:p>
    <w:p>
      <w:pPr>
        <w:ind w:right="80" w:firstLine="1281"/>
        <w:spacing w:after="0" w:line="244" w:lineRule="auto"/>
        <w:tabs>
          <w:tab w:leader="none" w:pos="1579" w:val="left"/>
        </w:tabs>
        <w:numPr>
          <w:ilvl w:val="1"/>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73" w:lineRule="exact"/>
        <w:rPr>
          <w:rFonts w:ascii="Times New Roman" w:cs="Times New Roman" w:eastAsia="Times New Roman" w:hAnsi="Times New Roman"/>
          <w:sz w:val="22"/>
          <w:szCs w:val="22"/>
          <w:b w:val="1"/>
          <w:bCs w:val="1"/>
          <w:color w:val="auto"/>
        </w:rPr>
      </w:pPr>
    </w:p>
    <w:p>
      <w:pPr>
        <w:ind w:right="460" w:firstLine="1281"/>
        <w:spacing w:after="0" w:line="258" w:lineRule="auto"/>
        <w:tabs>
          <w:tab w:leader="none" w:pos="1591" w:val="left"/>
        </w:tabs>
        <w:numPr>
          <w:ilvl w:val="1"/>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Award.</w:t>
      </w:r>
    </w:p>
    <w:p>
      <w:pPr>
        <w:spacing w:after="0" w:line="158" w:lineRule="exact"/>
        <w:rPr>
          <w:rFonts w:ascii="Times New Roman" w:cs="Times New Roman" w:eastAsia="Times New Roman" w:hAnsi="Times New Roman"/>
          <w:sz w:val="22"/>
          <w:szCs w:val="22"/>
          <w:b w:val="1"/>
          <w:bCs w:val="1"/>
          <w:color w:val="auto"/>
        </w:rPr>
      </w:pPr>
    </w:p>
    <w:p>
      <w:pPr>
        <w:jc w:val="both"/>
        <w:ind w:right="440" w:firstLine="1281"/>
        <w:spacing w:after="0" w:line="282" w:lineRule="auto"/>
        <w:tabs>
          <w:tab w:leader="none" w:pos="1566" w:val="left"/>
        </w:tabs>
        <w:numPr>
          <w:ilvl w:val="1"/>
          <w:numId w:val="2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34" w:lineRule="exact"/>
        <w:rPr>
          <w:rFonts w:ascii="Times New Roman" w:cs="Times New Roman" w:eastAsia="Times New Roman" w:hAnsi="Times New Roman"/>
          <w:sz w:val="21"/>
          <w:szCs w:val="21"/>
          <w:b w:val="1"/>
          <w:bCs w:val="1"/>
          <w:color w:val="auto"/>
        </w:rPr>
      </w:pPr>
    </w:p>
    <w:p>
      <w:pPr>
        <w:ind w:right="400" w:firstLine="1281"/>
        <w:spacing w:after="0" w:line="258" w:lineRule="auto"/>
        <w:tabs>
          <w:tab w:leader="none" w:pos="1591" w:val="left"/>
        </w:tabs>
        <w:numPr>
          <w:ilvl w:val="1"/>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shall be subject to all applicable laws, rules, and regulations, and to such approvals by any governmental agencies or national securities exchanges as may be required.</w:t>
      </w:r>
    </w:p>
    <w:p>
      <w:pPr>
        <w:spacing w:after="0" w:line="158" w:lineRule="exact"/>
        <w:rPr>
          <w:rFonts w:ascii="Times New Roman" w:cs="Times New Roman" w:eastAsia="Times New Roman" w:hAnsi="Times New Roman"/>
          <w:sz w:val="22"/>
          <w:szCs w:val="22"/>
          <w:b w:val="1"/>
          <w:bCs w:val="1"/>
          <w:color w:val="auto"/>
        </w:rPr>
      </w:pPr>
    </w:p>
    <w:p>
      <w:pPr>
        <w:ind w:right="400" w:firstLine="1281"/>
        <w:spacing w:after="0" w:line="244" w:lineRule="auto"/>
        <w:tabs>
          <w:tab w:leader="none" w:pos="1566" w:val="left"/>
        </w:tabs>
        <w:numPr>
          <w:ilvl w:val="1"/>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69" w:lineRule="exact"/>
        <w:rPr>
          <w:rFonts w:ascii="Times New Roman" w:cs="Times New Roman" w:eastAsia="Times New Roman" w:hAnsi="Times New Roman"/>
          <w:sz w:val="22"/>
          <w:szCs w:val="22"/>
          <w:b w:val="1"/>
          <w:bCs w:val="1"/>
          <w:color w:val="auto"/>
        </w:rPr>
      </w:pPr>
    </w:p>
    <w:p>
      <w:pPr>
        <w:ind w:left="960" w:hanging="316"/>
        <w:spacing w:after="0"/>
        <w:tabs>
          <w:tab w:leader="none" w:pos="960" w:val="left"/>
        </w:tabs>
        <w:numPr>
          <w:ilvl w:val="0"/>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OCUMENT</w:t>
      </w:r>
      <w:r>
        <w:rPr>
          <w:rFonts w:ascii="Times New Roman" w:cs="Times New Roman" w:eastAsia="Times New Roman" w:hAnsi="Times New Roman"/>
          <w:sz w:val="22"/>
          <w:szCs w:val="22"/>
          <w:color w:val="auto"/>
        </w:rPr>
        <w:t>. Your Award is subject to all the provisions of the Plan, the provisions of which are</w:t>
      </w:r>
    </w:p>
    <w:p>
      <w:pPr>
        <w:spacing w:after="0" w:line="1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231" w:name="page232"/>
    <w:bookmarkEnd w:id="23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reason,” or for a “constructive termination” or any similar term under any plan of or agreement with the Company.</w:t>
      </w:r>
    </w:p>
    <w:p>
      <w:pPr>
        <w:spacing w:after="0" w:line="202" w:lineRule="exact"/>
        <w:rPr>
          <w:sz w:val="20"/>
          <w:szCs w:val="20"/>
          <w:color w:val="auto"/>
        </w:rPr>
      </w:pPr>
    </w:p>
    <w:p>
      <w:pPr>
        <w:ind w:right="20" w:firstLine="644"/>
        <w:spacing w:after="0" w:line="238" w:lineRule="auto"/>
        <w:tabs>
          <w:tab w:leader="none" w:pos="960" w:val="left"/>
        </w:tabs>
        <w:numPr>
          <w:ilvl w:val="0"/>
          <w:numId w:val="2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FFECT ON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MPLOYEE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7"/>
          <w:szCs w:val="17"/>
          <w:b w:val="1"/>
          <w:bCs w:val="1"/>
          <w:color w:val="auto"/>
        </w:rPr>
        <w:t>ENEFIT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value of the Award subject to this Agreement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6" w:lineRule="exact"/>
        <w:rPr>
          <w:rFonts w:ascii="Times New Roman" w:cs="Times New Roman" w:eastAsia="Times New Roman" w:hAnsi="Times New Roman"/>
          <w:sz w:val="22"/>
          <w:szCs w:val="22"/>
          <w:b w:val="1"/>
          <w:bCs w:val="1"/>
          <w:color w:val="auto"/>
        </w:rPr>
      </w:pPr>
    </w:p>
    <w:p>
      <w:pPr>
        <w:ind w:right="160" w:firstLine="644"/>
        <w:spacing w:after="0" w:line="262" w:lineRule="auto"/>
        <w:tabs>
          <w:tab w:leader="none" w:pos="960" w:val="left"/>
        </w:tabs>
        <w:numPr>
          <w:ilvl w:val="0"/>
          <w:numId w:val="2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HOICE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AW</w:t>
      </w:r>
      <w:r>
        <w:rPr>
          <w:rFonts w:ascii="Times New Roman" w:cs="Times New Roman" w:eastAsia="Times New Roman" w:hAnsi="Times New Roman"/>
          <w:sz w:val="22"/>
          <w:szCs w:val="22"/>
          <w:color w:val="auto"/>
        </w:rPr>
        <w:t>. The interpretation, performance and enforcement of this Agreement shall be governed by the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Delaware without regard to that state’s conflicts of laws rules.</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firstLine="644"/>
        <w:spacing w:after="0" w:line="238" w:lineRule="auto"/>
        <w:tabs>
          <w:tab w:leader="none" w:pos="960"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EVERABILITY</w:t>
      </w:r>
      <w:r>
        <w:rPr>
          <w:rFonts w:ascii="Times New Roman" w:cs="Times New Roman" w:eastAsia="Times New Roman" w:hAnsi="Times New Roman"/>
          <w:sz w:val="22"/>
          <w:szCs w:val="22"/>
          <w:color w:val="auto"/>
        </w:rPr>
        <w:t>. If all or any part of this Agreement or the Plan is declared by any court or governmental authority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22"/>
          <w:szCs w:val="22"/>
          <w:b w:val="1"/>
          <w:bCs w:val="1"/>
          <w:color w:val="auto"/>
        </w:rPr>
      </w:pPr>
    </w:p>
    <w:p>
      <w:pPr>
        <w:ind w:firstLine="644"/>
        <w:spacing w:after="0" w:line="286" w:lineRule="auto"/>
        <w:tabs>
          <w:tab w:leader="none" w:pos="960" w:val="left"/>
        </w:tabs>
        <w:numPr>
          <w:ilvl w:val="0"/>
          <w:numId w:val="2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1"/>
          <w:szCs w:val="21"/>
          <w:b w:val="1"/>
          <w:bCs w:val="1"/>
          <w:color w:val="auto"/>
        </w:rPr>
        <w:t xml:space="preserve"> D</w:t>
      </w:r>
      <w:r>
        <w:rPr>
          <w:rFonts w:ascii="Times New Roman" w:cs="Times New Roman" w:eastAsia="Times New Roman" w:hAnsi="Times New Roman"/>
          <w:sz w:val="16"/>
          <w:szCs w:val="16"/>
          <w:b w:val="1"/>
          <w:bCs w:val="1"/>
          <w:color w:val="auto"/>
        </w:rPr>
        <w:t>OCUMENTS</w:t>
      </w:r>
      <w:r>
        <w:rPr>
          <w:rFonts w:ascii="Times New Roman" w:cs="Times New Roman" w:eastAsia="Times New Roman" w:hAnsi="Times New Roman"/>
          <w:sz w:val="21"/>
          <w:szCs w:val="21"/>
          <w:color w:val="auto"/>
        </w:rPr>
        <w:t>. You hereby acknowledge receipt or the right to receive a document providing the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by Rule 428(b)(1) promulgated under the Securities Act. In addition, you acknowledge receipt of the Company’s Policy.</w:t>
      </w:r>
    </w:p>
    <w:p>
      <w:pPr>
        <w:spacing w:after="0" w:line="126" w:lineRule="exact"/>
        <w:rPr>
          <w:rFonts w:ascii="Times New Roman" w:cs="Times New Roman" w:eastAsia="Times New Roman" w:hAnsi="Times New Roman"/>
          <w:sz w:val="21"/>
          <w:szCs w:val="21"/>
          <w:b w:val="1"/>
          <w:bCs w:val="1"/>
          <w:color w:val="auto"/>
        </w:rPr>
      </w:pPr>
    </w:p>
    <w:p>
      <w:pPr>
        <w:ind w:right="20" w:firstLine="644"/>
        <w:spacing w:after="0" w:line="235" w:lineRule="auto"/>
        <w:tabs>
          <w:tab w:leader="none" w:pos="960"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MENDMENT</w:t>
      </w:r>
      <w:r>
        <w:rPr>
          <w:rFonts w:ascii="Times New Roman" w:cs="Times New Roman" w:eastAsia="Times New Roman" w:hAnsi="Times New Roman"/>
          <w:sz w:val="22"/>
          <w:szCs w:val="22"/>
          <w:color w:val="auto"/>
        </w:rPr>
        <w:t>. This Agreement may not be modified, amended or terminated except by an instrument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3" w:lineRule="exact"/>
        <w:rPr>
          <w:rFonts w:ascii="Times New Roman" w:cs="Times New Roman" w:eastAsia="Times New Roman" w:hAnsi="Times New Roman"/>
          <w:sz w:val="22"/>
          <w:szCs w:val="22"/>
          <w:b w:val="1"/>
          <w:bCs w:val="1"/>
          <w:color w:val="auto"/>
        </w:rPr>
      </w:pPr>
    </w:p>
    <w:p>
      <w:pPr>
        <w:ind w:right="40" w:firstLine="644"/>
        <w:spacing w:after="0" w:line="237" w:lineRule="auto"/>
        <w:tabs>
          <w:tab w:leader="none" w:pos="960"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OMPLIANCE WITH</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ECTION</w:t>
      </w:r>
      <w:r>
        <w:rPr>
          <w:rFonts w:ascii="Times New Roman" w:cs="Times New Roman" w:eastAsia="Times New Roman" w:hAnsi="Times New Roman"/>
          <w:sz w:val="22"/>
          <w:szCs w:val="22"/>
          <w:b w:val="1"/>
          <w:bCs w:val="1"/>
          <w:color w:val="auto"/>
        </w:rPr>
        <w:t xml:space="preserve"> 409A </w:t>
      </w:r>
      <w:r>
        <w:rPr>
          <w:rFonts w:ascii="Times New Roman" w:cs="Times New Roman" w:eastAsia="Times New Roman" w:hAnsi="Times New Roman"/>
          <w:sz w:val="17"/>
          <w:szCs w:val="17"/>
          <w:b w:val="1"/>
          <w:bCs w:val="1"/>
          <w:color w:val="auto"/>
        </w:rPr>
        <w:t>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ODE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is intended to comply with the “short-term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deferral” rule 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2" w:name="page233"/>
    <w:bookmarkEnd w:id="232"/>
    <w:p>
      <w:pPr>
        <w:spacing w:after="0" w:line="1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date of the separation from service or within the first six (6) months thereafter will not be made on the originally scheduled date(s) and will instead be issued in a lump sum on the date that is six (6) months and one day after the date of the separation from service (or the date of your death, if earlier),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 * * *</w:t>
      </w:r>
    </w:p>
    <w:p>
      <w:pPr>
        <w:spacing w:after="0" w:line="206" w:lineRule="exact"/>
        <w:rPr>
          <w:sz w:val="20"/>
          <w:szCs w:val="20"/>
          <w:color w:val="auto"/>
        </w:rPr>
      </w:pPr>
    </w:p>
    <w:p>
      <w:pPr>
        <w:ind w:right="20" w:firstLine="636"/>
        <w:spacing w:after="0" w:line="258" w:lineRule="auto"/>
        <w:rPr>
          <w:sz w:val="20"/>
          <w:szCs w:val="20"/>
          <w:color w:val="auto"/>
        </w:rPr>
      </w:pPr>
      <w:r>
        <w:rPr>
          <w:rFonts w:ascii="Times New Roman" w:cs="Times New Roman" w:eastAsia="Times New Roman" w:hAnsi="Times New Roman"/>
          <w:sz w:val="22"/>
          <w:szCs w:val="22"/>
          <w:color w:val="auto"/>
        </w:rPr>
        <w:t>This Restricted Stock Unit Award Agreement shall be deemed to be signed by the Company and the Participant upon the signing by the Participant of the Restricted Stock Unit Grant Notice to which it is attached.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1121410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33" w:name="page234"/>
    <w:bookmarkEnd w:id="233"/>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w:t>
      </w:r>
      <w:r>
        <w:rPr>
          <w:rFonts w:ascii="Times New Roman" w:cs="Times New Roman" w:eastAsia="Times New Roman" w:hAnsi="Times New Roman"/>
          <w:sz w:val="17"/>
          <w:szCs w:val="17"/>
          <w:b w:val="1"/>
          <w:bCs w:val="1"/>
          <w:color w:val="auto"/>
        </w:rPr>
        <w:t>yntra</w:t>
      </w:r>
      <w:r>
        <w:rPr>
          <w:rFonts w:ascii="Times New Roman" w:cs="Times New Roman" w:eastAsia="Times New Roman" w:hAnsi="Times New Roman"/>
          <w:sz w:val="25"/>
          <w:szCs w:val="25"/>
          <w:b w:val="1"/>
          <w:bCs w:val="1"/>
          <w:color w:val="auto"/>
        </w:rPr>
        <w:t xml:space="preserve"> B</w:t>
      </w:r>
      <w:r>
        <w:rPr>
          <w:rFonts w:ascii="Times New Roman" w:cs="Times New Roman" w:eastAsia="Times New Roman" w:hAnsi="Times New Roman"/>
          <w:sz w:val="17"/>
          <w:szCs w:val="17"/>
          <w:b w:val="1"/>
          <w:bCs w:val="1"/>
          <w:color w:val="auto"/>
        </w:rPr>
        <w:t>io</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9"/>
          <w:szCs w:val="19"/>
          <w:b w:val="1"/>
          <w:bCs w:val="1"/>
          <w:color w:val="auto"/>
        </w:rPr>
        <w:t>NC</w:t>
      </w:r>
      <w:r>
        <w:rPr>
          <w:rFonts w:ascii="Times New Roman" w:cs="Times New Roman" w:eastAsia="Times New Roman" w:hAnsi="Times New Roman"/>
          <w:sz w:val="25"/>
          <w:szCs w:val="25"/>
          <w:b w:val="1"/>
          <w:bCs w:val="1"/>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2014 E</w:t>
      </w:r>
      <w:r>
        <w:rPr>
          <w:rFonts w:ascii="Times New Roman" w:cs="Times New Roman" w:eastAsia="Times New Roman" w:hAnsi="Times New Roman"/>
          <w:sz w:val="19"/>
          <w:szCs w:val="19"/>
          <w:b w:val="1"/>
          <w:bCs w:val="1"/>
          <w:color w:val="auto"/>
        </w:rPr>
        <w:t>MPLOYEE</w:t>
      </w:r>
      <w:r>
        <w:rPr>
          <w:rFonts w:ascii="Times New Roman" w:cs="Times New Roman" w:eastAsia="Times New Roman" w:hAnsi="Times New Roman"/>
          <w:sz w:val="26"/>
          <w:szCs w:val="26"/>
          <w:b w:val="1"/>
          <w:bCs w:val="1"/>
          <w:color w:val="auto"/>
        </w:rPr>
        <w:t xml:space="preserve"> S</w:t>
      </w:r>
      <w:r>
        <w:rPr>
          <w:rFonts w:ascii="Times New Roman" w:cs="Times New Roman" w:eastAsia="Times New Roman" w:hAnsi="Times New Roman"/>
          <w:sz w:val="19"/>
          <w:szCs w:val="19"/>
          <w:b w:val="1"/>
          <w:bCs w:val="1"/>
          <w:color w:val="auto"/>
        </w:rPr>
        <w:t>TOCK</w:t>
      </w:r>
      <w:r>
        <w:rPr>
          <w:rFonts w:ascii="Times New Roman" w:cs="Times New Roman" w:eastAsia="Times New Roman" w:hAnsi="Times New Roman"/>
          <w:sz w:val="26"/>
          <w:szCs w:val="26"/>
          <w:b w:val="1"/>
          <w:bCs w:val="1"/>
          <w:color w:val="auto"/>
        </w:rPr>
        <w:t xml:space="preserve"> P</w:t>
      </w:r>
      <w:r>
        <w:rPr>
          <w:rFonts w:ascii="Times New Roman" w:cs="Times New Roman" w:eastAsia="Times New Roman" w:hAnsi="Times New Roman"/>
          <w:sz w:val="19"/>
          <w:szCs w:val="19"/>
          <w:b w:val="1"/>
          <w:bCs w:val="1"/>
          <w:color w:val="auto"/>
        </w:rPr>
        <w:t>URCHASE</w:t>
      </w:r>
      <w:r>
        <w:rPr>
          <w:rFonts w:ascii="Times New Roman" w:cs="Times New Roman" w:eastAsia="Times New Roman" w:hAnsi="Times New Roman"/>
          <w:sz w:val="26"/>
          <w:szCs w:val="26"/>
          <w:b w:val="1"/>
          <w:bCs w:val="1"/>
          <w:color w:val="auto"/>
        </w:rPr>
        <w:t xml:space="preserve"> P</w:t>
      </w:r>
      <w:r>
        <w:rPr>
          <w:rFonts w:ascii="Times New Roman" w:cs="Times New Roman" w:eastAsia="Times New Roman" w:hAnsi="Times New Roman"/>
          <w:sz w:val="19"/>
          <w:szCs w:val="19"/>
          <w:b w:val="1"/>
          <w:bCs w:val="1"/>
          <w:color w:val="auto"/>
        </w:rPr>
        <w:t>LAN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DOPTED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7"/>
          <w:szCs w:val="17"/>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IRECTORS</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7"/>
          <w:szCs w:val="17"/>
          <w:b w:val="1"/>
          <w:bCs w:val="1"/>
          <w:color w:val="auto"/>
        </w:rPr>
        <w:t>EPTEMBER</w:t>
      </w:r>
      <w:r>
        <w:rPr>
          <w:rFonts w:ascii="Times New Roman" w:cs="Times New Roman" w:eastAsia="Times New Roman" w:hAnsi="Times New Roman"/>
          <w:sz w:val="22"/>
          <w:szCs w:val="22"/>
          <w:b w:val="1"/>
          <w:bCs w:val="1"/>
          <w:color w:val="auto"/>
        </w:rPr>
        <w:t xml:space="preserve"> 09, 2014</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TOCKHOLDERS</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7"/>
          <w:szCs w:val="17"/>
          <w:b w:val="1"/>
          <w:bCs w:val="1"/>
          <w:color w:val="auto"/>
        </w:rPr>
        <w:t>EPTEMBER</w:t>
      </w:r>
      <w:r>
        <w:rPr>
          <w:rFonts w:ascii="Times New Roman" w:cs="Times New Roman" w:eastAsia="Times New Roman" w:hAnsi="Times New Roman"/>
          <w:sz w:val="22"/>
          <w:szCs w:val="22"/>
          <w:b w:val="1"/>
          <w:bCs w:val="1"/>
          <w:color w:val="auto"/>
        </w:rPr>
        <w:t xml:space="preserve"> 30, 2014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pproved by</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on</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19, 2025</w:t>
      </w:r>
    </w:p>
    <w:p>
      <w:pPr>
        <w:spacing w:after="0" w:line="200" w:lineRule="exact"/>
        <w:rPr>
          <w:sz w:val="20"/>
          <w:szCs w:val="20"/>
          <w:color w:val="auto"/>
        </w:rPr>
      </w:pPr>
    </w:p>
    <w:p>
      <w:pPr>
        <w:spacing w:after="0" w:line="248" w:lineRule="exact"/>
        <w:rPr>
          <w:sz w:val="20"/>
          <w:szCs w:val="20"/>
          <w:color w:val="auto"/>
        </w:rPr>
      </w:pPr>
    </w:p>
    <w:p>
      <w:pPr>
        <w:ind w:left="580" w:hanging="572"/>
        <w:spacing w:after="0"/>
        <w:tabs>
          <w:tab w:leader="none" w:pos="580" w:val="left"/>
        </w:tabs>
        <w:numPr>
          <w:ilvl w:val="0"/>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ENERAL</w:t>
      </w:r>
      <w:r>
        <w:rPr>
          <w:rFonts w:ascii="Times New Roman" w:cs="Times New Roman" w:eastAsia="Times New Roman" w:hAnsi="Times New Roman"/>
          <w:sz w:val="22"/>
          <w:szCs w:val="22"/>
          <w:b w:val="1"/>
          <w:bCs w:val="1"/>
          <w:color w:val="auto"/>
        </w:rPr>
        <w:t>; P</w:t>
      </w:r>
      <w:r>
        <w:rPr>
          <w:rFonts w:ascii="Times New Roman" w:cs="Times New Roman" w:eastAsia="Times New Roman" w:hAnsi="Times New Roman"/>
          <w:sz w:val="17"/>
          <w:szCs w:val="17"/>
          <w:b w:val="1"/>
          <w:bCs w:val="1"/>
          <w:color w:val="auto"/>
        </w:rPr>
        <w:t>URPOSE</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80" w:firstLine="644"/>
        <w:spacing w:after="0" w:line="244" w:lineRule="auto"/>
        <w:tabs>
          <w:tab w:leader="none" w:pos="1212" w:val="left"/>
        </w:tabs>
        <w:numPr>
          <w:ilvl w:val="1"/>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173" w:lineRule="exact"/>
        <w:rPr>
          <w:rFonts w:ascii="Times New Roman" w:cs="Times New Roman" w:eastAsia="Times New Roman" w:hAnsi="Times New Roman"/>
          <w:sz w:val="22"/>
          <w:szCs w:val="22"/>
          <w:b w:val="1"/>
          <w:bCs w:val="1"/>
          <w:color w:val="auto"/>
        </w:rPr>
      </w:pPr>
    </w:p>
    <w:p>
      <w:pPr>
        <w:ind w:right="140" w:firstLine="644"/>
        <w:spacing w:after="0" w:line="244" w:lineRule="auto"/>
        <w:tabs>
          <w:tab w:leader="none" w:pos="1224" w:val="left"/>
        </w:tabs>
        <w:numPr>
          <w:ilvl w:val="1"/>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96"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DMINISTRATION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140" w:firstLine="644"/>
        <w:spacing w:after="0" w:line="258" w:lineRule="auto"/>
        <w:tabs>
          <w:tab w:leader="none" w:pos="1212" w:val="left"/>
        </w:tabs>
        <w:numPr>
          <w:ilvl w:val="1"/>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will administer the Plan unless and until the Board delegates administration of the Plan to a Committee or Committees, as provided in Section 2(c).</w:t>
      </w:r>
    </w:p>
    <w:p>
      <w:pPr>
        <w:spacing w:after="0" w:line="158" w:lineRule="exact"/>
        <w:rPr>
          <w:rFonts w:ascii="Times New Roman" w:cs="Times New Roman" w:eastAsia="Times New Roman" w:hAnsi="Times New Roman"/>
          <w:sz w:val="22"/>
          <w:szCs w:val="22"/>
          <w:b w:val="1"/>
          <w:bCs w:val="1"/>
          <w:color w:val="auto"/>
        </w:rPr>
      </w:pPr>
    </w:p>
    <w:p>
      <w:pPr>
        <w:ind w:left="1240" w:hanging="596"/>
        <w:spacing w:after="0"/>
        <w:tabs>
          <w:tab w:leader="none" w:pos="1240" w:val="left"/>
        </w:tabs>
        <w:numPr>
          <w:ilvl w:val="1"/>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will have the power, subject to, and within the limitations of, the express provisions of the Plan:</w:t>
      </w:r>
    </w:p>
    <w:p>
      <w:pPr>
        <w:spacing w:after="0" w:line="206" w:lineRule="exact"/>
        <w:rPr>
          <w:rFonts w:ascii="Times New Roman" w:cs="Times New Roman" w:eastAsia="Times New Roman" w:hAnsi="Times New Roman"/>
          <w:sz w:val="22"/>
          <w:szCs w:val="22"/>
          <w:b w:val="1"/>
          <w:bCs w:val="1"/>
          <w:color w:val="auto"/>
        </w:rPr>
      </w:pPr>
    </w:p>
    <w:p>
      <w:pPr>
        <w:ind w:right="340" w:firstLine="1281"/>
        <w:spacing w:after="0" w:line="258" w:lineRule="auto"/>
        <w:tabs>
          <w:tab w:leader="none" w:pos="1855" w:val="left"/>
        </w:tabs>
        <w:numPr>
          <w:ilvl w:val="2"/>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how and when Purchase Rights will be granted and the provisions of each Offering (which need not be identical).</w:t>
      </w:r>
    </w:p>
    <w:p>
      <w:pPr>
        <w:spacing w:after="0" w:line="158" w:lineRule="exact"/>
        <w:rPr>
          <w:rFonts w:ascii="Times New Roman" w:cs="Times New Roman" w:eastAsia="Times New Roman" w:hAnsi="Times New Roman"/>
          <w:sz w:val="22"/>
          <w:szCs w:val="22"/>
          <w:b w:val="1"/>
          <w:bCs w:val="1"/>
          <w:color w:val="auto"/>
        </w:rPr>
      </w:pPr>
    </w:p>
    <w:p>
      <w:pPr>
        <w:ind w:left="1860" w:hanging="579"/>
        <w:spacing w:after="0"/>
        <w:tabs>
          <w:tab w:leader="none" w:pos="1860" w:val="left"/>
        </w:tabs>
        <w:numPr>
          <w:ilvl w:val="2"/>
          <w:numId w:val="2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designate from time to time which Related Corporations of the Company will be eligible to participate in</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 Plan.</w:t>
      </w:r>
    </w:p>
    <w:p>
      <w:pPr>
        <w:spacing w:after="0" w:line="182" w:lineRule="exact"/>
        <w:rPr>
          <w:rFonts w:ascii="Times New Roman" w:cs="Times New Roman" w:eastAsia="Times New Roman" w:hAnsi="Times New Roman"/>
          <w:sz w:val="21"/>
          <w:szCs w:val="21"/>
          <w:b w:val="1"/>
          <w:bCs w:val="1"/>
          <w:color w:val="auto"/>
        </w:rPr>
      </w:pPr>
    </w:p>
    <w:p>
      <w:pPr>
        <w:ind w:right="180" w:firstLine="1281"/>
        <w:spacing w:after="0" w:line="244" w:lineRule="auto"/>
        <w:tabs>
          <w:tab w:leader="none" w:pos="1867" w:val="left"/>
        </w:tabs>
        <w:numPr>
          <w:ilvl w:val="2"/>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73" w:lineRule="exact"/>
        <w:rPr>
          <w:rFonts w:ascii="Times New Roman" w:cs="Times New Roman" w:eastAsia="Times New Roman" w:hAnsi="Times New Roman"/>
          <w:sz w:val="22"/>
          <w:szCs w:val="22"/>
          <w:b w:val="1"/>
          <w:bCs w:val="1"/>
          <w:color w:val="auto"/>
        </w:rPr>
      </w:pPr>
    </w:p>
    <w:p>
      <w:pPr>
        <w:ind w:left="1860" w:hanging="579"/>
        <w:spacing w:after="0"/>
        <w:tabs>
          <w:tab w:leader="none" w:pos="1860" w:val="left"/>
        </w:tabs>
        <w:numPr>
          <w:ilvl w:val="2"/>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the Plan and Purchase Rights granted under the Plan.</w:t>
      </w:r>
    </w:p>
    <w:p>
      <w:pPr>
        <w:spacing w:after="0" w:line="206" w:lineRule="exact"/>
        <w:rPr>
          <w:rFonts w:ascii="Times New Roman" w:cs="Times New Roman" w:eastAsia="Times New Roman" w:hAnsi="Times New Roman"/>
          <w:sz w:val="22"/>
          <w:szCs w:val="22"/>
          <w:b w:val="1"/>
          <w:bCs w:val="1"/>
          <w:color w:val="auto"/>
        </w:rPr>
      </w:pPr>
    </w:p>
    <w:p>
      <w:pPr>
        <w:ind w:left="1860" w:hanging="579"/>
        <w:spacing w:after="0"/>
        <w:tabs>
          <w:tab w:leader="none" w:pos="1860" w:val="left"/>
        </w:tabs>
        <w:numPr>
          <w:ilvl w:val="2"/>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the Plan at any time as provided in Section 12.</w:t>
      </w:r>
    </w:p>
    <w:p>
      <w:pPr>
        <w:spacing w:after="0" w:line="206" w:lineRule="exact"/>
        <w:rPr>
          <w:rFonts w:ascii="Times New Roman" w:cs="Times New Roman" w:eastAsia="Times New Roman" w:hAnsi="Times New Roman"/>
          <w:sz w:val="22"/>
          <w:szCs w:val="22"/>
          <w:b w:val="1"/>
          <w:bCs w:val="1"/>
          <w:color w:val="auto"/>
        </w:rPr>
      </w:pPr>
    </w:p>
    <w:p>
      <w:pPr>
        <w:ind w:left="1860" w:hanging="579"/>
        <w:spacing w:after="0"/>
        <w:tabs>
          <w:tab w:leader="none" w:pos="1860" w:val="left"/>
        </w:tabs>
        <w:numPr>
          <w:ilvl w:val="2"/>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amend the Plan at any time as provided in Section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85" w:lineRule="exact"/>
        <w:rPr>
          <w:sz w:val="20"/>
          <w:szCs w:val="20"/>
          <w:color w:val="auto"/>
        </w:rPr>
      </w:pPr>
    </w:p>
    <w:p>
      <w:pPr>
        <w:jc w:val="both"/>
        <w:ind w:left="-8" w:right="100" w:firstLine="1281"/>
        <w:spacing w:after="0" w:line="244" w:lineRule="auto"/>
        <w:tabs>
          <w:tab w:leader="none" w:pos="1853" w:val="left"/>
        </w:tabs>
        <w:numPr>
          <w:ilvl w:val="0"/>
          <w:numId w:val="2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32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8" w:right="320" w:firstLine="1281"/>
        <w:spacing w:after="0" w:line="258" w:lineRule="auto"/>
        <w:tabs>
          <w:tab w:leader="none" w:pos="2183" w:val="left"/>
        </w:tabs>
        <w:numPr>
          <w:ilvl w:val="2"/>
          <w:numId w:val="2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adopt such procedures and sub-plans as are necessary or appropriate to permit participation in the Plan by Employees who are foreign nationals or employed outside the United States.</w:t>
      </w:r>
    </w:p>
    <w:p>
      <w:pPr>
        <w:spacing w:after="0" w:line="158" w:lineRule="exact"/>
        <w:rPr>
          <w:rFonts w:ascii="Times New Roman" w:cs="Times New Roman" w:eastAsia="Times New Roman" w:hAnsi="Times New Roman"/>
          <w:sz w:val="22"/>
          <w:szCs w:val="22"/>
          <w:b w:val="1"/>
          <w:bCs w:val="1"/>
          <w:color w:val="auto"/>
        </w:rPr>
      </w:pPr>
    </w:p>
    <w:p>
      <w:pPr>
        <w:ind w:left="-8" w:right="40" w:firstLine="644"/>
        <w:spacing w:after="0" w:line="234" w:lineRule="auto"/>
        <w:tabs>
          <w:tab w:leader="none" w:pos="1192" w:val="left"/>
        </w:tabs>
        <w:numPr>
          <w:ilvl w:val="1"/>
          <w:numId w:val="2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83" w:lineRule="exact"/>
        <w:rPr>
          <w:rFonts w:ascii="Times New Roman" w:cs="Times New Roman" w:eastAsia="Times New Roman" w:hAnsi="Times New Roman"/>
          <w:sz w:val="22"/>
          <w:szCs w:val="22"/>
          <w:b w:val="1"/>
          <w:bCs w:val="1"/>
          <w:color w:val="auto"/>
        </w:rPr>
      </w:pPr>
    </w:p>
    <w:p>
      <w:pPr>
        <w:ind w:left="-8" w:right="100" w:firstLine="644"/>
        <w:spacing w:after="0" w:line="258" w:lineRule="auto"/>
        <w:tabs>
          <w:tab w:leader="none" w:pos="1216" w:val="left"/>
        </w:tabs>
        <w:numPr>
          <w:ilvl w:val="1"/>
          <w:numId w:val="2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determinations, interpretations and constructions made by the Board in good faith will not be subject to review by any person and will be final, binding and conclusive on all persons.</w:t>
      </w:r>
    </w:p>
    <w:p>
      <w:pPr>
        <w:spacing w:after="0" w:line="181" w:lineRule="exact"/>
        <w:rPr>
          <w:rFonts w:ascii="Times New Roman" w:cs="Times New Roman" w:eastAsia="Times New Roman" w:hAnsi="Times New Roman"/>
          <w:sz w:val="22"/>
          <w:szCs w:val="22"/>
          <w:b w:val="1"/>
          <w:bCs w:val="1"/>
          <w:color w:val="auto"/>
        </w:rPr>
      </w:pPr>
    </w:p>
    <w:p>
      <w:pPr>
        <w:ind w:left="572" w:hanging="572"/>
        <w:spacing w:after="0"/>
        <w:tabs>
          <w:tab w:leader="none" w:pos="572" w:val="left"/>
        </w:tabs>
        <w:numPr>
          <w:ilvl w:val="0"/>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HARES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8" w:firstLine="644"/>
        <w:spacing w:after="0" w:line="235" w:lineRule="auto"/>
        <w:tabs>
          <w:tab w:leader="none" w:pos="1204" w:val="left"/>
        </w:tabs>
        <w:numPr>
          <w:ilvl w:val="1"/>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the provisions of Section 11(a) relating to Capitalization Adjustments, the maximum number of shares of Common Stock that may be issued under the Plan will not exceed 1,600,000</w:t>
      </w:r>
      <w:r>
        <w:rPr>
          <w:rFonts w:ascii="Times New Roman" w:cs="Times New Roman" w:eastAsia="Times New Roman" w:hAnsi="Times New Roman"/>
          <w:sz w:val="12"/>
          <w:szCs w:val="12"/>
          <w:color w:val="auto"/>
        </w:rPr>
        <w:t>1</w:t>
      </w:r>
      <w:r>
        <w:rPr>
          <w:rFonts w:ascii="Times New Roman" w:cs="Times New Roman" w:eastAsia="Times New Roman" w:hAnsi="Times New Roman"/>
          <w:sz w:val="22"/>
          <w:szCs w:val="22"/>
          <w:color w:val="auto"/>
        </w:rPr>
        <w:t xml:space="preserve"> shares of Common Stock, plus the number of shares of Common Stock that are automatically added on January 1 of each year, commencing on (and including) January 1, 2016 and ending on (and including) January 1, 2024, in an amount equal to the lesser of (i) 1.0% of the total number of shares of Capital Stock outstanding on December 31 of the preceding fiscal year, and (ii) 1,200,000</w:t>
      </w:r>
      <w:r>
        <w:rPr>
          <w:rFonts w:ascii="Times New Roman" w:cs="Times New Roman" w:eastAsia="Times New Roman" w:hAnsi="Times New Roman"/>
          <w:sz w:val="12"/>
          <w:szCs w:val="12"/>
          <w:color w:val="auto"/>
        </w:rPr>
        <w:t>2</w:t>
      </w:r>
      <w:r>
        <w:rPr>
          <w:rFonts w:ascii="Times New Roman" w:cs="Times New Roman" w:eastAsia="Times New Roman" w:hAnsi="Times New Roman"/>
          <w:sz w:val="22"/>
          <w:szCs w:val="22"/>
          <w:color w:val="auto"/>
        </w:rPr>
        <w:t xml:space="preserve"> shares of Common Stock. Notwithstanding the foregoing, the Board may act prior to the first day of any fiscal year to provide that there will be no January 1 increase in the share reserve for such fiscal year or that the increase in the share reserve for such fiscal year will be a lesser number of shares of Common Stock than would otherwise occur pursuant to the preceding sentence.</w:t>
      </w:r>
    </w:p>
    <w:p>
      <w:pPr>
        <w:spacing w:after="0" w:line="178" w:lineRule="exact"/>
        <w:rPr>
          <w:rFonts w:ascii="Times New Roman" w:cs="Times New Roman" w:eastAsia="Times New Roman" w:hAnsi="Times New Roman"/>
          <w:sz w:val="22"/>
          <w:szCs w:val="22"/>
          <w:b w:val="1"/>
          <w:bCs w:val="1"/>
          <w:color w:val="auto"/>
        </w:rPr>
      </w:pPr>
    </w:p>
    <w:p>
      <w:pPr>
        <w:ind w:left="-8" w:right="700" w:firstLine="644"/>
        <w:spacing w:after="0" w:line="258" w:lineRule="auto"/>
        <w:tabs>
          <w:tab w:leader="none" w:pos="1216" w:val="left"/>
        </w:tabs>
        <w:numPr>
          <w:ilvl w:val="1"/>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58" w:lineRule="exact"/>
        <w:rPr>
          <w:rFonts w:ascii="Times New Roman" w:cs="Times New Roman" w:eastAsia="Times New Roman" w:hAnsi="Times New Roman"/>
          <w:sz w:val="22"/>
          <w:szCs w:val="22"/>
          <w:b w:val="1"/>
          <w:bCs w:val="1"/>
          <w:color w:val="auto"/>
        </w:rPr>
      </w:pPr>
    </w:p>
    <w:p>
      <w:pPr>
        <w:ind w:left="-8" w:right="560" w:firstLine="644"/>
        <w:spacing w:after="0" w:line="258" w:lineRule="auto"/>
        <w:tabs>
          <w:tab w:leader="none" w:pos="1192" w:val="left"/>
        </w:tabs>
        <w:numPr>
          <w:ilvl w:val="1"/>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stock purchasable under the Plan will be shares of authorized but unissued or reacquired Common Stock, including shares repurchased by the Company on the 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859790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35" w:name="page236"/>
    <w:bookmarkEnd w:id="23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1092200</wp:posOffset>
            </wp:positionV>
            <wp:extent cx="713232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40" w:right="80" w:hanging="232"/>
        <w:spacing w:after="0" w:line="255" w:lineRule="auto"/>
        <w:tabs>
          <w:tab w:leader="none" w:pos="240" w:val="left"/>
        </w:tabs>
        <w:numPr>
          <w:ilvl w:val="0"/>
          <w:numId w:val="28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The share limit was adjusted from 4,000,000 to 1,600,000 pursuant to the 1-for-2.5 reverse split of the Company’s Common Stock, effective November 10, 2014.</w:t>
      </w:r>
    </w:p>
    <w:p>
      <w:pPr>
        <w:spacing w:after="0" w:line="211" w:lineRule="exact"/>
        <w:rPr>
          <w:sz w:val="20"/>
          <w:szCs w:val="20"/>
          <w:color w:val="auto"/>
        </w:rPr>
      </w:pPr>
    </w:p>
    <w:p>
      <w:pPr>
        <w:ind w:left="240" w:right="80" w:hanging="232"/>
        <w:spacing w:after="0" w:line="255" w:lineRule="auto"/>
        <w:tabs>
          <w:tab w:leader="none" w:pos="240" w:val="left"/>
        </w:tabs>
        <w:numPr>
          <w:ilvl w:val="0"/>
          <w:numId w:val="28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The share limit was adjusted from 3,000,000 to 1,200,000 pursuant to the 1-for-2.5 reverse split of the Company’s Common Stock, effective November 10, 2014.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ind w:left="580" w:hanging="572"/>
        <w:spacing w:after="0"/>
        <w:tabs>
          <w:tab w:leader="none" w:pos="580" w:val="left"/>
        </w:tabs>
        <w:numPr>
          <w:ilvl w:val="0"/>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RANT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URCHASE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IGHTS</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7"/>
          <w:szCs w:val="17"/>
          <w:b w:val="1"/>
          <w:bCs w:val="1"/>
          <w:color w:val="auto"/>
        </w:rPr>
        <w:t>FFERING</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20" w:firstLine="644"/>
        <w:spacing w:after="0" w:line="234" w:lineRule="auto"/>
        <w:tabs>
          <w:tab w:leader="none" w:pos="1266" w:val="left"/>
        </w:tabs>
        <w:numPr>
          <w:ilvl w:val="1"/>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83" w:lineRule="exact"/>
        <w:rPr>
          <w:rFonts w:ascii="Times New Roman" w:cs="Times New Roman" w:eastAsia="Times New Roman" w:hAnsi="Times New Roman"/>
          <w:sz w:val="22"/>
          <w:szCs w:val="22"/>
          <w:b w:val="1"/>
          <w:bCs w:val="1"/>
          <w:color w:val="auto"/>
        </w:rPr>
      </w:pPr>
    </w:p>
    <w:p>
      <w:pPr>
        <w:ind w:right="100" w:firstLine="644"/>
        <w:spacing w:after="0" w:line="238" w:lineRule="auto"/>
        <w:tabs>
          <w:tab w:leader="none" w:pos="1278" w:val="left"/>
        </w:tabs>
        <w:numPr>
          <w:ilvl w:val="1"/>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76" w:lineRule="exact"/>
        <w:rPr>
          <w:rFonts w:ascii="Times New Roman" w:cs="Times New Roman" w:eastAsia="Times New Roman" w:hAnsi="Times New Roman"/>
          <w:sz w:val="22"/>
          <w:szCs w:val="22"/>
          <w:b w:val="1"/>
          <w:bCs w:val="1"/>
          <w:color w:val="auto"/>
        </w:rPr>
      </w:pPr>
    </w:p>
    <w:p>
      <w:pPr>
        <w:ind w:right="140" w:firstLine="644"/>
        <w:spacing w:after="0" w:line="238" w:lineRule="auto"/>
        <w:tabs>
          <w:tab w:leader="none" w:pos="1254" w:val="left"/>
        </w:tabs>
        <w:numPr>
          <w:ilvl w:val="1"/>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99"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LIGIBILITY</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firstLine="644"/>
        <w:spacing w:after="0" w:line="238" w:lineRule="auto"/>
        <w:tabs>
          <w:tab w:leader="none" w:pos="1266" w:val="left"/>
        </w:tabs>
        <w:numPr>
          <w:ilvl w:val="1"/>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w:t>
      </w:r>
    </w:p>
    <w:p>
      <w:pPr>
        <w:spacing w:after="0" w:line="180" w:lineRule="exact"/>
        <w:rPr>
          <w:sz w:val="20"/>
          <w:szCs w:val="20"/>
          <w:color w:val="auto"/>
        </w:rPr>
      </w:pPr>
    </w:p>
    <w:p>
      <w:pPr>
        <w:ind w:right="600" w:firstLine="644"/>
        <w:spacing w:after="0" w:line="244" w:lineRule="auto"/>
        <w:tabs>
          <w:tab w:leader="none" w:pos="1278" w:val="left"/>
        </w:tabs>
        <w:numPr>
          <w:ilvl w:val="0"/>
          <w:numId w:val="2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may provide that each person who, during the course of an Offering, first becomes an Eligible Employee will, on a date or dates specified in the Offering which coincides with the day on which such person becomes an Eligible Employee or which occurs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3" w:lineRule="exact"/>
        <w:rPr>
          <w:sz w:val="20"/>
          <w:szCs w:val="20"/>
          <w:color w:val="auto"/>
        </w:rPr>
      </w:pPr>
    </w:p>
    <w:p>
      <w:pPr>
        <w:ind w:right="140" w:firstLine="1281"/>
        <w:spacing w:after="0" w:line="258" w:lineRule="auto"/>
        <w:tabs>
          <w:tab w:leader="none" w:pos="1801" w:val="left"/>
        </w:tabs>
        <w:numPr>
          <w:ilvl w:val="1"/>
          <w:numId w:val="2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date on which such Purchase Right is granted will be the “Offering Date” of such Purchase Right for all purposes, including determination of the exercise price of such Purchase Right;</w:t>
      </w:r>
    </w:p>
    <w:p>
      <w:pPr>
        <w:spacing w:after="0" w:line="158" w:lineRule="exact"/>
        <w:rPr>
          <w:rFonts w:ascii="Times New Roman" w:cs="Times New Roman" w:eastAsia="Times New Roman" w:hAnsi="Times New Roman"/>
          <w:sz w:val="22"/>
          <w:szCs w:val="22"/>
          <w:b w:val="1"/>
          <w:bCs w:val="1"/>
          <w:color w:val="auto"/>
        </w:rPr>
      </w:pPr>
    </w:p>
    <w:p>
      <w:pPr>
        <w:ind w:right="620" w:firstLine="1281"/>
        <w:spacing w:after="0" w:line="258" w:lineRule="auto"/>
        <w:tabs>
          <w:tab w:leader="none" w:pos="1807" w:val="left"/>
        </w:tabs>
        <w:numPr>
          <w:ilvl w:val="1"/>
          <w:numId w:val="2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period of the Offering with respect to such Purchase Right will begin on its Offering Date and end coincident with the end of such Offering; and</w:t>
      </w:r>
    </w:p>
    <w:p>
      <w:pPr>
        <w:spacing w:after="0" w:line="158" w:lineRule="exact"/>
        <w:rPr>
          <w:rFonts w:ascii="Times New Roman" w:cs="Times New Roman" w:eastAsia="Times New Roman" w:hAnsi="Times New Roman"/>
          <w:sz w:val="22"/>
          <w:szCs w:val="22"/>
          <w:b w:val="1"/>
          <w:bCs w:val="1"/>
          <w:color w:val="auto"/>
        </w:rPr>
      </w:pPr>
    </w:p>
    <w:p>
      <w:pPr>
        <w:ind w:right="220" w:firstLine="1281"/>
        <w:spacing w:after="0" w:line="258" w:lineRule="auto"/>
        <w:tabs>
          <w:tab w:leader="none" w:pos="1813" w:val="left"/>
        </w:tabs>
        <w:numPr>
          <w:ilvl w:val="1"/>
          <w:numId w:val="2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may provide that if such person first becomes an Eligible Employee within a specified period of time before the end of the Offering, he or she will not receive any Purchase Right under that Offering.</w:t>
      </w:r>
    </w:p>
    <w:p>
      <w:pPr>
        <w:spacing w:after="0" w:line="158" w:lineRule="exact"/>
        <w:rPr>
          <w:rFonts w:ascii="Times New Roman" w:cs="Times New Roman" w:eastAsia="Times New Roman" w:hAnsi="Times New Roman"/>
          <w:sz w:val="22"/>
          <w:szCs w:val="22"/>
          <w:b w:val="1"/>
          <w:bCs w:val="1"/>
          <w:color w:val="auto"/>
        </w:rPr>
      </w:pPr>
    </w:p>
    <w:p>
      <w:pPr>
        <w:ind w:right="20" w:firstLine="644"/>
        <w:spacing w:after="0" w:line="238" w:lineRule="auto"/>
        <w:tabs>
          <w:tab w:leader="none" w:pos="1092" w:val="left"/>
        </w:tabs>
        <w:numPr>
          <w:ilvl w:val="0"/>
          <w:numId w:val="2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76" w:lineRule="exact"/>
        <w:rPr>
          <w:rFonts w:ascii="Times New Roman" w:cs="Times New Roman" w:eastAsia="Times New Roman" w:hAnsi="Times New Roman"/>
          <w:sz w:val="22"/>
          <w:szCs w:val="22"/>
          <w:b w:val="1"/>
          <w:bCs w:val="1"/>
          <w:color w:val="auto"/>
        </w:rPr>
      </w:pPr>
    </w:p>
    <w:p>
      <w:pPr>
        <w:ind w:right="80" w:firstLine="644"/>
        <w:spacing w:after="0" w:line="236" w:lineRule="auto"/>
        <w:tabs>
          <w:tab w:leader="none" w:pos="1116" w:val="left"/>
        </w:tabs>
        <w:numPr>
          <w:ilvl w:val="0"/>
          <w:numId w:val="2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1" w:lineRule="exact"/>
        <w:rPr>
          <w:rFonts w:ascii="Times New Roman" w:cs="Times New Roman" w:eastAsia="Times New Roman" w:hAnsi="Times New Roman"/>
          <w:sz w:val="22"/>
          <w:szCs w:val="22"/>
          <w:b w:val="1"/>
          <w:bCs w:val="1"/>
          <w:color w:val="auto"/>
        </w:rPr>
      </w:pPr>
    </w:p>
    <w:p>
      <w:pPr>
        <w:ind w:right="140" w:firstLine="644"/>
        <w:spacing w:after="0" w:line="244" w:lineRule="auto"/>
        <w:tabs>
          <w:tab w:leader="none" w:pos="1092" w:val="left"/>
        </w:tabs>
        <w:numPr>
          <w:ilvl w:val="0"/>
          <w:numId w:val="2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Officers of the Company and any designated Related Corporation, if they are otherwise Eligible Employees, will be eligible to participate in Offerings under the Plan. Notwithstanding the foregoing, the Board may provide in an Offering that Employees who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highly compensated Employees within the meaning of Section 423(b)(4)(D) of the Code will not be eligible to participate.</w:t>
      </w:r>
    </w:p>
    <w:p>
      <w:pPr>
        <w:spacing w:after="0" w:line="229" w:lineRule="exact"/>
        <w:rPr>
          <w:sz w:val="20"/>
          <w:szCs w:val="20"/>
          <w:color w:val="auto"/>
        </w:rPr>
      </w:pPr>
    </w:p>
    <w:p>
      <w:pPr>
        <w:ind w:left="580" w:hanging="572"/>
        <w:spacing w:after="0"/>
        <w:tabs>
          <w:tab w:leader="none" w:pos="580" w:val="left"/>
        </w:tabs>
        <w:numPr>
          <w:ilvl w:val="0"/>
          <w:numId w:val="2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URCHASE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IGHTS</w:t>
      </w:r>
      <w:r>
        <w:rPr>
          <w:rFonts w:ascii="Times New Roman" w:cs="Times New Roman" w:eastAsia="Times New Roman" w:hAnsi="Times New Roman"/>
          <w:sz w:val="22"/>
          <w:szCs w:val="22"/>
          <w:b w:val="1"/>
          <w:bCs w:val="1"/>
          <w:color w:val="auto"/>
        </w:rPr>
        <w:t>; P</w:t>
      </w:r>
      <w:r>
        <w:rPr>
          <w:rFonts w:ascii="Times New Roman" w:cs="Times New Roman" w:eastAsia="Times New Roman" w:hAnsi="Times New Roman"/>
          <w:sz w:val="17"/>
          <w:szCs w:val="17"/>
          <w:b w:val="1"/>
          <w:bCs w:val="1"/>
          <w:color w:val="auto"/>
        </w:rPr>
        <w:t>URCHASE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RICE</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220" w:firstLine="644"/>
        <w:spacing w:after="0" w:line="236" w:lineRule="auto"/>
        <w:tabs>
          <w:tab w:leader="none" w:pos="1104" w:val="left"/>
        </w:tabs>
        <w:numPr>
          <w:ilvl w:val="1"/>
          <w:numId w:val="2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80" w:firstLine="644"/>
        <w:spacing w:after="0" w:line="258" w:lineRule="auto"/>
        <w:tabs>
          <w:tab w:leader="none" w:pos="1116" w:val="left"/>
        </w:tabs>
        <w:numPr>
          <w:ilvl w:val="1"/>
          <w:numId w:val="2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58" w:lineRule="exact"/>
        <w:rPr>
          <w:rFonts w:ascii="Times New Roman" w:cs="Times New Roman" w:eastAsia="Times New Roman" w:hAnsi="Times New Roman"/>
          <w:sz w:val="22"/>
          <w:szCs w:val="22"/>
          <w:b w:val="1"/>
          <w:bCs w:val="1"/>
          <w:color w:val="auto"/>
        </w:rPr>
      </w:pPr>
    </w:p>
    <w:p>
      <w:pPr>
        <w:ind w:right="40" w:firstLine="644"/>
        <w:spacing w:after="0" w:line="235" w:lineRule="auto"/>
        <w:tabs>
          <w:tab w:leader="none" w:pos="1092" w:val="left"/>
        </w:tabs>
        <w:numPr>
          <w:ilvl w:val="1"/>
          <w:numId w:val="2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78" w:lineRule="exact"/>
        <w:rPr>
          <w:rFonts w:ascii="Times New Roman" w:cs="Times New Roman" w:eastAsia="Times New Roman" w:hAnsi="Times New Roman"/>
          <w:sz w:val="22"/>
          <w:szCs w:val="22"/>
          <w:b w:val="1"/>
          <w:bCs w:val="1"/>
          <w:color w:val="auto"/>
        </w:rPr>
      </w:pPr>
    </w:p>
    <w:p>
      <w:pPr>
        <w:ind w:left="1120" w:hanging="476"/>
        <w:spacing w:after="0"/>
        <w:tabs>
          <w:tab w:leader="none" w:pos="1120" w:val="left"/>
        </w:tabs>
        <w:numPr>
          <w:ilvl w:val="1"/>
          <w:numId w:val="2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purchase price of shares of Common Stock acquired pursuant to Purchase Rights will be not less than the lesser</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of:</w:t>
      </w:r>
    </w:p>
    <w:p>
      <w:pPr>
        <w:spacing w:after="0" w:line="182" w:lineRule="exact"/>
        <w:rPr>
          <w:rFonts w:ascii="Times New Roman" w:cs="Times New Roman" w:eastAsia="Times New Roman" w:hAnsi="Times New Roman"/>
          <w:sz w:val="21"/>
          <w:szCs w:val="21"/>
          <w:b w:val="1"/>
          <w:bCs w:val="1"/>
          <w:color w:val="auto"/>
        </w:rPr>
      </w:pPr>
    </w:p>
    <w:p>
      <w:pPr>
        <w:ind w:left="1800" w:hanging="519"/>
        <w:spacing w:after="0"/>
        <w:tabs>
          <w:tab w:leader="none" w:pos="1800" w:val="left"/>
        </w:tabs>
        <w:numPr>
          <w:ilvl w:val="2"/>
          <w:numId w:val="2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 amount equal to 85% of the Fair Market Value of the shares of Common Stock on the Offering Date; and</w:t>
      </w:r>
    </w:p>
    <w:p>
      <w:pPr>
        <w:spacing w:after="0" w:line="217" w:lineRule="exact"/>
        <w:rPr>
          <w:rFonts w:ascii="Times New Roman" w:cs="Times New Roman" w:eastAsia="Times New Roman" w:hAnsi="Times New Roman"/>
          <w:sz w:val="21"/>
          <w:szCs w:val="21"/>
          <w:b w:val="1"/>
          <w:bCs w:val="1"/>
          <w:color w:val="auto"/>
        </w:rPr>
      </w:pPr>
    </w:p>
    <w:p>
      <w:pPr>
        <w:ind w:left="1820" w:hanging="539"/>
        <w:spacing w:after="0"/>
        <w:tabs>
          <w:tab w:leader="none" w:pos="1820" w:val="left"/>
        </w:tabs>
        <w:numPr>
          <w:ilvl w:val="2"/>
          <w:numId w:val="2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equal to 85% of the Fair Market Value of the shares of Common Stock on the applicable</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Purchase Date.</w:t>
      </w:r>
    </w:p>
    <w:p>
      <w:pPr>
        <w:spacing w:after="0" w:line="205"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2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ARTICIPATION</w:t>
      </w:r>
      <w:r>
        <w:rPr>
          <w:rFonts w:ascii="Times New Roman" w:cs="Times New Roman" w:eastAsia="Times New Roman" w:hAnsi="Times New Roman"/>
          <w:sz w:val="22"/>
          <w:szCs w:val="22"/>
          <w:b w:val="1"/>
          <w:bCs w:val="1"/>
          <w:color w:val="auto"/>
        </w:rPr>
        <w:t>; W</w:t>
      </w:r>
      <w:r>
        <w:rPr>
          <w:rFonts w:ascii="Times New Roman" w:cs="Times New Roman" w:eastAsia="Times New Roman" w:hAnsi="Times New Roman"/>
          <w:sz w:val="17"/>
          <w:szCs w:val="17"/>
          <w:b w:val="1"/>
          <w:bCs w:val="1"/>
          <w:color w:val="auto"/>
        </w:rPr>
        <w:t>ITHDRAWAL</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7"/>
          <w:szCs w:val="17"/>
          <w:b w:val="1"/>
          <w:bCs w:val="1"/>
          <w:color w:val="auto"/>
        </w:rPr>
        <w:t>ERMINATION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260" w:firstLine="644"/>
        <w:spacing w:after="0" w:line="239" w:lineRule="auto"/>
        <w:tabs>
          <w:tab w:leader="none" w:pos="1104" w:val="left"/>
        </w:tabs>
        <w:numPr>
          <w:ilvl w:val="1"/>
          <w:numId w:val="2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Eligible Employee may elect to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38" w:name="page239"/>
    <w:bookmarkEnd w:id="238"/>
    <w:p>
      <w:pPr>
        <w:spacing w:after="0" w:line="18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making Contributions by payroll deductions, a Participant may make Contributions through the payment by cash or check prior to a Purchase Date.</w:t>
      </w:r>
    </w:p>
    <w:p>
      <w:pPr>
        <w:spacing w:after="0" w:line="183" w:lineRule="exact"/>
        <w:rPr>
          <w:sz w:val="20"/>
          <w:szCs w:val="20"/>
          <w:color w:val="auto"/>
        </w:rPr>
      </w:pPr>
    </w:p>
    <w:p>
      <w:pPr>
        <w:ind w:right="120" w:firstLine="644"/>
        <w:spacing w:after="0" w:line="239" w:lineRule="auto"/>
        <w:tabs>
          <w:tab w:leader="none" w:pos="1116" w:val="left"/>
        </w:tabs>
        <w:numPr>
          <w:ilvl w:val="0"/>
          <w:numId w:val="2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to such Participant all of his or her accumulated but unused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3" w:lineRule="exact"/>
        <w:rPr>
          <w:sz w:val="20"/>
          <w:szCs w:val="20"/>
          <w:color w:val="auto"/>
        </w:rPr>
      </w:pPr>
    </w:p>
    <w:p>
      <w:pPr>
        <w:ind w:left="1100" w:hanging="456"/>
        <w:spacing w:after="0"/>
        <w:tabs>
          <w:tab w:leader="none" w:pos="1100" w:val="left"/>
        </w:tabs>
        <w:numPr>
          <w:ilvl w:val="1"/>
          <w:numId w:val="2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Purchase Rights granted pursuant to any Offering under the Plan will terminate immediately if the Participant either</w:t>
      </w:r>
    </w:p>
    <w:p>
      <w:pPr>
        <w:spacing w:after="0" w:line="25" w:lineRule="exact"/>
        <w:rPr>
          <w:rFonts w:ascii="Times New Roman" w:cs="Times New Roman" w:eastAsia="Times New Roman" w:hAnsi="Times New Roman"/>
          <w:sz w:val="21"/>
          <w:szCs w:val="21"/>
          <w:b w:val="1"/>
          <w:bCs w:val="1"/>
          <w:color w:val="auto"/>
        </w:rPr>
      </w:pPr>
    </w:p>
    <w:p>
      <w:pPr>
        <w:ind w:right="360" w:firstLine="8"/>
        <w:spacing w:after="0" w:line="235" w:lineRule="auto"/>
        <w:tabs>
          <w:tab w:leader="none" w:pos="25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 longer an Employee for any reason or for no reason (subject to any post-employment participation period required by law) or (ii) is otherwise no longer eligible to participate. The Company will distribute to such individual all of his or her accumulated but unused Contributions.</w:t>
      </w:r>
    </w:p>
    <w:p>
      <w:pPr>
        <w:spacing w:after="0" w:line="177" w:lineRule="exact"/>
        <w:rPr>
          <w:rFonts w:ascii="Times New Roman" w:cs="Times New Roman" w:eastAsia="Times New Roman" w:hAnsi="Times New Roman"/>
          <w:sz w:val="22"/>
          <w:szCs w:val="22"/>
          <w:color w:val="auto"/>
        </w:rPr>
      </w:pPr>
    </w:p>
    <w:p>
      <w:pPr>
        <w:ind w:firstLine="644"/>
        <w:spacing w:after="0" w:line="244" w:lineRule="auto"/>
        <w:tabs>
          <w:tab w:leader="none" w:pos="1116" w:val="left"/>
        </w:tabs>
        <w:numPr>
          <w:ilvl w:val="1"/>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3" w:lineRule="exact"/>
        <w:rPr>
          <w:rFonts w:ascii="Times New Roman" w:cs="Times New Roman" w:eastAsia="Times New Roman" w:hAnsi="Times New Roman"/>
          <w:sz w:val="22"/>
          <w:szCs w:val="22"/>
          <w:b w:val="1"/>
          <w:bCs w:val="1"/>
          <w:color w:val="auto"/>
        </w:rPr>
      </w:pPr>
    </w:p>
    <w:p>
      <w:pPr>
        <w:ind w:left="1100" w:hanging="456"/>
        <w:spacing w:after="0"/>
        <w:tabs>
          <w:tab w:leader="none" w:pos="1100" w:val="left"/>
        </w:tabs>
        <w:numPr>
          <w:ilvl w:val="1"/>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specified in the Offering, the Company will have no obligation to pay interest on Contributions.</w:t>
      </w:r>
    </w:p>
    <w:p>
      <w:pPr>
        <w:spacing w:after="0" w:line="229" w:lineRule="exact"/>
        <w:rPr>
          <w:sz w:val="20"/>
          <w:szCs w:val="20"/>
          <w:color w:val="auto"/>
        </w:rPr>
      </w:pPr>
    </w:p>
    <w:p>
      <w:pPr>
        <w:ind w:left="580" w:hanging="572"/>
        <w:spacing w:after="0"/>
        <w:tabs>
          <w:tab w:leader="none" w:pos="580" w:val="left"/>
        </w:tabs>
        <w:numPr>
          <w:ilvl w:val="0"/>
          <w:numId w:val="2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XERCISE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URCHASE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IGHTS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right="240" w:firstLine="644"/>
        <w:spacing w:after="0" w:line="261" w:lineRule="auto"/>
        <w:tabs>
          <w:tab w:leader="none" w:pos="1104" w:val="left"/>
        </w:tabs>
        <w:numPr>
          <w:ilvl w:val="1"/>
          <w:numId w:val="2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57" w:lineRule="exact"/>
        <w:rPr>
          <w:rFonts w:ascii="Times New Roman" w:cs="Times New Roman" w:eastAsia="Times New Roman" w:hAnsi="Times New Roman"/>
          <w:sz w:val="21"/>
          <w:szCs w:val="21"/>
          <w:b w:val="1"/>
          <w:bCs w:val="1"/>
          <w:color w:val="auto"/>
        </w:rPr>
      </w:pPr>
    </w:p>
    <w:p>
      <w:pPr>
        <w:ind w:right="40" w:firstLine="644"/>
        <w:spacing w:after="0" w:line="244" w:lineRule="auto"/>
        <w:tabs>
          <w:tab w:leader="none" w:pos="1116" w:val="left"/>
        </w:tabs>
        <w:numPr>
          <w:ilvl w:val="1"/>
          <w:numId w:val="2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amount of accumulated Contributions remains in a Participant’s account after the purchase of shares of Common Stock and such remaining amount is less than the amount required to purchase one share of Common Stock on the final Purchase Date of an Offering,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8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such remaining amount will be held in such Participant’s account for the purchase of shares of Common Stock under the next Offering under the Plan, unless such Participant withdraws from or is not eligible to participate in such Offering, in which case such amount will be distributed to such Participant after the final Purchase Date, without interest. If the amount of Contributions remaining in a Participant’s account after the purchase of shares of Common Stock is at least equal to the amount required to purchase one whole share of Common Stock on the final Purchase Date of an Offering, then such remaining amount will not roll over to the next Offering and will instead be distributed in full to such Participant after the final Purchase Date of such Offering without interest.</w:t>
      </w:r>
    </w:p>
    <w:p>
      <w:pPr>
        <w:spacing w:after="0" w:line="183" w:lineRule="exact"/>
        <w:rPr>
          <w:sz w:val="20"/>
          <w:szCs w:val="20"/>
          <w:color w:val="auto"/>
        </w:rPr>
      </w:pPr>
    </w:p>
    <w:p>
      <w:pPr>
        <w:ind w:right="60" w:firstLine="644"/>
        <w:spacing w:after="0" w:line="236" w:lineRule="auto"/>
        <w:tabs>
          <w:tab w:leader="none" w:pos="1092" w:val="left"/>
        </w:tabs>
        <w:numPr>
          <w:ilvl w:val="0"/>
          <w:numId w:val="2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203" w:lineRule="exact"/>
        <w:rPr>
          <w:sz w:val="20"/>
          <w:szCs w:val="20"/>
          <w:color w:val="auto"/>
        </w:rPr>
      </w:pPr>
    </w:p>
    <w:p>
      <w:pPr>
        <w:ind w:left="580" w:hanging="572"/>
        <w:spacing w:after="0"/>
        <w:tabs>
          <w:tab w:leader="none" w:pos="580" w:val="left"/>
        </w:tabs>
        <w:numPr>
          <w:ilvl w:val="0"/>
          <w:numId w:val="2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OVENANTS 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OMPANY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636"/>
        <w:spacing w:after="0" w:line="236" w:lineRule="auto"/>
        <w:rPr>
          <w:sz w:val="20"/>
          <w:szCs w:val="20"/>
          <w:color w:val="auto"/>
        </w:rPr>
      </w:pPr>
      <w:r>
        <w:rPr>
          <w:rFonts w:ascii="Times New Roman" w:cs="Times New Roman" w:eastAsia="Times New Roman" w:hAnsi="Times New Roman"/>
          <w:sz w:val="22"/>
          <w:szCs w:val="22"/>
          <w:color w:val="auto"/>
        </w:rPr>
        <w:t>The Company will seek to obtain from each federal, state, foreign or other regulatory commission or agency having jurisdiction over the Plan such authority as may be required to grant Purchase Rights and issue and sell shares of Common Stock thereunder.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04" w:lineRule="exact"/>
        <w:rPr>
          <w:sz w:val="20"/>
          <w:szCs w:val="20"/>
          <w:color w:val="auto"/>
        </w:rPr>
      </w:pPr>
    </w:p>
    <w:p>
      <w:pPr>
        <w:ind w:left="580" w:hanging="572"/>
        <w:spacing w:after="0"/>
        <w:tabs>
          <w:tab w:leader="none" w:pos="580"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7"/>
          <w:szCs w:val="17"/>
          <w:b w:val="1"/>
          <w:bCs w:val="1"/>
          <w:color w:val="auto"/>
        </w:rPr>
        <w:t>ESIGNATION OF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7"/>
          <w:szCs w:val="17"/>
          <w:b w:val="1"/>
          <w:bCs w:val="1"/>
          <w:color w:val="auto"/>
        </w:rPr>
        <w:t>ENEFICIARY</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120" w:firstLine="644"/>
        <w:spacing w:after="0" w:line="238" w:lineRule="auto"/>
        <w:tabs>
          <w:tab w:leader="none" w:pos="1104" w:val="left"/>
        </w:tabs>
        <w:numPr>
          <w:ilvl w:val="1"/>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185" w:lineRule="exact"/>
        <w:rPr>
          <w:sz w:val="20"/>
          <w:szCs w:val="20"/>
          <w:color w:val="auto"/>
        </w:rPr>
      </w:pPr>
    </w:p>
    <w:p>
      <w:pPr>
        <w:ind w:right="100" w:firstLine="644"/>
        <w:spacing w:after="0" w:line="238" w:lineRule="auto"/>
        <w:tabs>
          <w:tab w:leader="none" w:pos="1116" w:val="left"/>
        </w:tabs>
        <w:numPr>
          <w:ilvl w:val="1"/>
          <w:numId w:val="2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Participant dies, in the absence of a valid beneficiary designation, the Company will deliver any shares of Common Stock and/or Contributions to the executor or administrator of the estate of the Participant. If, to the knowledge of the Company, no executor or administrator has been appointed, the Company, in its sole discretion, may deliver such shares of Common Stock and/or Contributions to the Participant’s spouse, dependents or relatives, or if no spouse, dependent or relative is known to the Company, then to such other person as the Company may designate.</w:t>
      </w:r>
    </w:p>
    <w:p>
      <w:pPr>
        <w:spacing w:after="0" w:line="199"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DJUSTMENTS UPON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2"/>
          <w:szCs w:val="22"/>
          <w:b w:val="1"/>
          <w:bCs w:val="1"/>
          <w:color w:val="auto"/>
        </w:rPr>
        <w:t>; C</w:t>
      </w:r>
      <w:r>
        <w:rPr>
          <w:rFonts w:ascii="Times New Roman" w:cs="Times New Roman" w:eastAsia="Times New Roman" w:hAnsi="Times New Roman"/>
          <w:sz w:val="17"/>
          <w:szCs w:val="17"/>
          <w:b w:val="1"/>
          <w:bCs w:val="1"/>
          <w:color w:val="auto"/>
        </w:rPr>
        <w:t>ORPORATE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RANSACTIONS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20" w:firstLine="644"/>
        <w:spacing w:after="0" w:line="236" w:lineRule="auto"/>
        <w:tabs>
          <w:tab w:leader="none" w:pos="1104" w:val="left"/>
        </w:tabs>
        <w:numPr>
          <w:ilvl w:val="1"/>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81" w:lineRule="exact"/>
        <w:rPr>
          <w:rFonts w:ascii="Times New Roman" w:cs="Times New Roman" w:eastAsia="Times New Roman" w:hAnsi="Times New Roman"/>
          <w:sz w:val="22"/>
          <w:szCs w:val="22"/>
          <w:b w:val="1"/>
          <w:bCs w:val="1"/>
          <w:color w:val="auto"/>
        </w:rPr>
      </w:pPr>
    </w:p>
    <w:p>
      <w:pPr>
        <w:ind w:right="400" w:firstLine="644"/>
        <w:spacing w:after="0" w:line="244" w:lineRule="auto"/>
        <w:tabs>
          <w:tab w:leader="none" w:pos="1116" w:val="left"/>
        </w:tabs>
        <w:numPr>
          <w:ilvl w:val="1"/>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200" w:lineRule="exact"/>
        <w:rPr>
          <w:sz w:val="20"/>
          <w:szCs w:val="20"/>
          <w:color w:val="auto"/>
        </w:rPr>
      </w:pPr>
    </w:p>
    <w:p>
      <w:pPr>
        <w:ind w:left="580" w:hanging="572"/>
        <w:spacing w:after="0"/>
        <w:tabs>
          <w:tab w:leader="none" w:pos="580" w:val="left"/>
        </w:tabs>
        <w:numPr>
          <w:ilvl w:val="0"/>
          <w:numId w:val="2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MENDMENT</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7"/>
          <w:szCs w:val="17"/>
          <w:b w:val="1"/>
          <w:bCs w:val="1"/>
          <w:color w:val="auto"/>
        </w:rPr>
        <w:t>ERMINATION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USPENSION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firstLine="644"/>
        <w:spacing w:after="0" w:line="247" w:lineRule="auto"/>
        <w:tabs>
          <w:tab w:leader="none" w:pos="1104" w:val="left"/>
        </w:tabs>
        <w:numPr>
          <w:ilvl w:val="1"/>
          <w:numId w:val="2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or listing requirements, including any amendment that either (i) materially increases the number of shares of Common Stock available for issuance under the Plan, (ii) materially expands the class of individuals eligible to become Participants and receive Purchase Rights, (iii) materially increases the benefits accruing to Participants under the Plan or materially reduces the price at which shares of Common Stock may be purchased under the Plan, (iv) materially extends the term of the Plan, or (v) expands the types of awards available for issuance under the Plan, but in each of (i) through (v) above only to the extent stockholder approval is required by applicable law or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85" w:lineRule="exact"/>
        <w:rPr>
          <w:sz w:val="20"/>
          <w:szCs w:val="20"/>
          <w:color w:val="auto"/>
        </w:rPr>
      </w:pPr>
    </w:p>
    <w:p>
      <w:pPr>
        <w:ind w:right="40" w:firstLine="644"/>
        <w:spacing w:after="0" w:line="258" w:lineRule="auto"/>
        <w:tabs>
          <w:tab w:leader="none" w:pos="1116" w:val="left"/>
        </w:tabs>
        <w:numPr>
          <w:ilvl w:val="0"/>
          <w:numId w:val="3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may suspend or terminate the Plan at any time. No Purchase Rights may be granted under the Plan while the Plan is suspended or after it is terminated.</w:t>
      </w:r>
    </w:p>
    <w:p>
      <w:pPr>
        <w:spacing w:after="0" w:line="158" w:lineRule="exact"/>
        <w:rPr>
          <w:rFonts w:ascii="Times New Roman" w:cs="Times New Roman" w:eastAsia="Times New Roman" w:hAnsi="Times New Roman"/>
          <w:sz w:val="22"/>
          <w:szCs w:val="22"/>
          <w:b w:val="1"/>
          <w:bCs w:val="1"/>
          <w:color w:val="auto"/>
        </w:rPr>
      </w:pPr>
    </w:p>
    <w:p>
      <w:pPr>
        <w:ind w:right="20" w:firstLine="644"/>
        <w:spacing w:after="0" w:line="234" w:lineRule="auto"/>
        <w:tabs>
          <w:tab w:leader="none" w:pos="1092" w:val="left"/>
        </w:tabs>
        <w:numPr>
          <w:ilvl w:val="0"/>
          <w:numId w:val="3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206" w:lineRule="exact"/>
        <w:rPr>
          <w:sz w:val="20"/>
          <w:szCs w:val="20"/>
          <w:color w:val="auto"/>
        </w:rPr>
      </w:pPr>
    </w:p>
    <w:p>
      <w:pPr>
        <w:ind w:left="580" w:hanging="572"/>
        <w:spacing w:after="0"/>
        <w:tabs>
          <w:tab w:leader="none" w:pos="580" w:val="left"/>
        </w:tabs>
        <w:numPr>
          <w:ilvl w:val="0"/>
          <w:numId w:val="3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FFECTIVE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ATE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120" w:firstLine="636"/>
        <w:spacing w:after="0" w:line="261" w:lineRule="auto"/>
        <w:rPr>
          <w:sz w:val="20"/>
          <w:szCs w:val="20"/>
          <w:color w:val="auto"/>
        </w:rPr>
      </w:pPr>
      <w:r>
        <w:rPr>
          <w:rFonts w:ascii="Times New Roman" w:cs="Times New Roman" w:eastAsia="Times New Roman" w:hAnsi="Times New Roman"/>
          <w:sz w:val="21"/>
          <w:szCs w:val="21"/>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ind w:left="580" w:hanging="572"/>
        <w:spacing w:after="0"/>
        <w:tabs>
          <w:tab w:leader="none" w:pos="580" w:val="left"/>
        </w:tabs>
        <w:numPr>
          <w:ilvl w:val="0"/>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7"/>
          <w:szCs w:val="17"/>
          <w:b w:val="1"/>
          <w:bCs w:val="1"/>
          <w:color w:val="auto"/>
        </w:rPr>
        <w:t>ISCELLANEOUS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ROVISIONS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1220" w:hanging="576"/>
        <w:spacing w:after="0"/>
        <w:tabs>
          <w:tab w:leader="none" w:pos="1220" w:val="left"/>
        </w:tabs>
        <w:numPr>
          <w:ilvl w:val="1"/>
          <w:numId w:val="3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Proceeds from the sale of shares of Common Stock pursuant to Purchase Rights will constitute general funds of the</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1"/>
          <w:szCs w:val="21"/>
          <w:b w:val="1"/>
          <w:bCs w:val="1"/>
          <w:color w:val="auto"/>
        </w:rPr>
      </w:pPr>
    </w:p>
    <w:p>
      <w:pPr>
        <w:jc w:val="both"/>
        <w:ind w:right="60" w:firstLine="644"/>
        <w:spacing w:after="0" w:line="244" w:lineRule="auto"/>
        <w:tabs>
          <w:tab w:leader="none" w:pos="1224" w:val="left"/>
        </w:tabs>
        <w:numPr>
          <w:ilvl w:val="1"/>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3" w:lineRule="exact"/>
        <w:rPr>
          <w:rFonts w:ascii="Times New Roman" w:cs="Times New Roman" w:eastAsia="Times New Roman" w:hAnsi="Times New Roman"/>
          <w:sz w:val="22"/>
          <w:szCs w:val="22"/>
          <w:b w:val="1"/>
          <w:bCs w:val="1"/>
          <w:color w:val="auto"/>
        </w:rPr>
      </w:pPr>
    </w:p>
    <w:p>
      <w:pPr>
        <w:ind w:right="60" w:firstLine="644"/>
        <w:spacing w:after="0" w:line="239" w:lineRule="auto"/>
        <w:tabs>
          <w:tab w:leader="none" w:pos="1200" w:val="left"/>
        </w:tabs>
        <w:numPr>
          <w:ilvl w:val="1"/>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80" w:lineRule="exact"/>
        <w:rPr>
          <w:rFonts w:ascii="Times New Roman" w:cs="Times New Roman" w:eastAsia="Times New Roman" w:hAnsi="Times New Roman"/>
          <w:sz w:val="22"/>
          <w:szCs w:val="22"/>
          <w:b w:val="1"/>
          <w:bCs w:val="1"/>
          <w:color w:val="auto"/>
        </w:rPr>
      </w:pPr>
    </w:p>
    <w:p>
      <w:pPr>
        <w:ind w:right="460" w:firstLine="644"/>
        <w:spacing w:after="0" w:line="258" w:lineRule="auto"/>
        <w:tabs>
          <w:tab w:leader="none" w:pos="1224" w:val="left"/>
        </w:tabs>
        <w:numPr>
          <w:ilvl w:val="1"/>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provisions of the Plan will be governed by the laws of the State of California without resort to that state’s conflicts of laws rules.</w:t>
      </w:r>
    </w:p>
    <w:p>
      <w:pPr>
        <w:spacing w:after="0" w:line="181" w:lineRule="exact"/>
        <w:rPr>
          <w:rFonts w:ascii="Times New Roman" w:cs="Times New Roman" w:eastAsia="Times New Roman" w:hAnsi="Times New Roman"/>
          <w:sz w:val="22"/>
          <w:szCs w:val="22"/>
          <w:b w:val="1"/>
          <w:bCs w:val="1"/>
          <w:color w:val="auto"/>
        </w:rPr>
      </w:pPr>
    </w:p>
    <w:p>
      <w:pPr>
        <w:ind w:left="580" w:hanging="572"/>
        <w:spacing w:after="0"/>
        <w:tabs>
          <w:tab w:leader="none" w:pos="580" w:val="left"/>
        </w:tabs>
        <w:numPr>
          <w:ilvl w:val="0"/>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7"/>
          <w:szCs w:val="17"/>
          <w:b w:val="1"/>
          <w:bCs w:val="1"/>
          <w:color w:val="auto"/>
        </w:rPr>
        <w:t>EFINITIONS</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42" w:name="page243"/>
    <w:bookmarkEnd w:id="242"/>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As used in the Plan, the following definitions will apply to the capitalized terms indicated below:</w:t>
      </w:r>
    </w:p>
    <w:p>
      <w:pPr>
        <w:spacing w:after="0" w:line="200" w:lineRule="exact"/>
        <w:rPr>
          <w:sz w:val="20"/>
          <w:szCs w:val="20"/>
          <w:color w:val="auto"/>
        </w:rPr>
      </w:pPr>
    </w:p>
    <w:p>
      <w:pPr>
        <w:ind w:left="1220" w:hanging="576"/>
        <w:spacing w:after="0"/>
        <w:tabs>
          <w:tab w:leader="none" w:pos="1220" w:val="left"/>
        </w:tabs>
        <w:numPr>
          <w:ilvl w:val="0"/>
          <w:numId w:val="3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b w:val="1"/>
          <w:bCs w:val="1"/>
          <w:color w:val="auto"/>
        </w:rPr>
      </w:pPr>
    </w:p>
    <w:p>
      <w:pPr>
        <w:ind w:left="1240" w:hanging="596"/>
        <w:spacing w:after="0"/>
        <w:tabs>
          <w:tab w:leader="none" w:pos="1240"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Capital Stock</w:t>
      </w:r>
      <w:r>
        <w:rPr>
          <w:rFonts w:ascii="Times New Roman" w:cs="Times New Roman" w:eastAsia="Times New Roman" w:hAnsi="Times New Roman"/>
          <w:sz w:val="21"/>
          <w:szCs w:val="21"/>
          <w:color w:val="auto"/>
        </w:rPr>
        <w:t>” means each and every class of common stock of the Company, regardless of the number of votes</w:t>
      </w:r>
    </w:p>
    <w:p>
      <w:pPr>
        <w:spacing w:after="0" w:line="3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per share.</w:t>
      </w:r>
    </w:p>
    <w:p>
      <w:pPr>
        <w:spacing w:after="0" w:line="176" w:lineRule="exact"/>
        <w:rPr>
          <w:rFonts w:ascii="Times New Roman" w:cs="Times New Roman" w:eastAsia="Times New Roman" w:hAnsi="Times New Roman"/>
          <w:sz w:val="21"/>
          <w:szCs w:val="21"/>
          <w:b w:val="1"/>
          <w:bCs w:val="1"/>
          <w:color w:val="auto"/>
        </w:rPr>
      </w:pPr>
    </w:p>
    <w:p>
      <w:pPr>
        <w:ind w:firstLine="644"/>
        <w:spacing w:after="0" w:line="249" w:lineRule="auto"/>
        <w:tabs>
          <w:tab w:leader="none" w:pos="1200"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Capitalization Adjustment</w:t>
      </w:r>
      <w:r>
        <w:rPr>
          <w:rFonts w:ascii="Times New Roman" w:cs="Times New Roman" w:eastAsia="Times New Roman" w:hAnsi="Times New Roman"/>
          <w:sz w:val="21"/>
          <w:szCs w:val="21"/>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3" w:lineRule="exact"/>
        <w:rPr>
          <w:rFonts w:ascii="Times New Roman" w:cs="Times New Roman" w:eastAsia="Times New Roman" w:hAnsi="Times New Roman"/>
          <w:sz w:val="21"/>
          <w:szCs w:val="21"/>
          <w:b w:val="1"/>
          <w:bCs w:val="1"/>
          <w:color w:val="auto"/>
        </w:rPr>
      </w:pPr>
    </w:p>
    <w:p>
      <w:pPr>
        <w:ind w:left="1240" w:hanging="596"/>
        <w:spacing w:after="0"/>
        <w:tabs>
          <w:tab w:leader="none" w:pos="1240"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Internal Revenue Code of 1986, as amended, including any applicable regulations and guidance</w:t>
      </w:r>
    </w:p>
    <w:p>
      <w:pPr>
        <w:spacing w:after="0" w:line="3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thereunder</w:t>
      </w:r>
      <w:r>
        <w:rPr>
          <w:rFonts w:ascii="Times New Roman" w:cs="Times New Roman" w:eastAsia="Times New Roman" w:hAnsi="Times New Roman"/>
          <w:sz w:val="22"/>
          <w:szCs w:val="22"/>
          <w:i w:val="1"/>
          <w:iCs w:val="1"/>
          <w:color w:val="auto"/>
        </w:rPr>
        <w:t>.</w:t>
      </w:r>
    </w:p>
    <w:p>
      <w:pPr>
        <w:spacing w:after="0" w:line="176" w:lineRule="exact"/>
        <w:rPr>
          <w:rFonts w:ascii="Times New Roman" w:cs="Times New Roman" w:eastAsia="Times New Roman" w:hAnsi="Times New Roman"/>
          <w:sz w:val="21"/>
          <w:szCs w:val="21"/>
          <w:b w:val="1"/>
          <w:bCs w:val="1"/>
          <w:color w:val="auto"/>
        </w:rPr>
      </w:pPr>
    </w:p>
    <w:p>
      <w:pPr>
        <w:ind w:right="220" w:firstLine="644"/>
        <w:spacing w:after="0" w:line="264" w:lineRule="auto"/>
        <w:tabs>
          <w:tab w:leader="none" w:pos="1200" w:val="left"/>
        </w:tabs>
        <w:numPr>
          <w:ilvl w:val="0"/>
          <w:numId w:val="3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a committee of one or more members of the Board to whom authority has been delegated by the Board in accordance with Section 2(c).</w:t>
      </w:r>
    </w:p>
    <w:p>
      <w:pPr>
        <w:spacing w:after="0" w:line="145" w:lineRule="exact"/>
        <w:rPr>
          <w:rFonts w:ascii="Times New Roman" w:cs="Times New Roman" w:eastAsia="Times New Roman" w:hAnsi="Times New Roman"/>
          <w:sz w:val="22"/>
          <w:szCs w:val="22"/>
          <w:b w:val="1"/>
          <w:bCs w:val="1"/>
          <w:color w:val="auto"/>
        </w:rPr>
      </w:pPr>
    </w:p>
    <w:p>
      <w:pPr>
        <w:ind w:left="1180" w:hanging="536"/>
        <w:spacing w:after="0"/>
        <w:tabs>
          <w:tab w:leader="none" w:pos="1180" w:val="left"/>
        </w:tabs>
        <w:numPr>
          <w:ilvl w:val="0"/>
          <w:numId w:val="3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as of the IPO Date, the common stock of the Company.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0"/>
          <w:szCs w:val="20"/>
          <w:color w:val="auto"/>
        </w:rPr>
      </w:pPr>
    </w:p>
    <w:p>
      <w:pPr>
        <w:ind w:left="1220" w:hanging="576"/>
        <w:spacing w:after="0"/>
        <w:tabs>
          <w:tab w:leader="none" w:pos="1220"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Kyntra Bio, Inc., a Delaware corporation.</w:t>
      </w:r>
    </w:p>
    <w:p>
      <w:pPr>
        <w:spacing w:after="0" w:line="206" w:lineRule="exact"/>
        <w:rPr>
          <w:rFonts w:ascii="Times New Roman" w:cs="Times New Roman" w:eastAsia="Times New Roman" w:hAnsi="Times New Roman"/>
          <w:sz w:val="22"/>
          <w:szCs w:val="22"/>
          <w:b w:val="1"/>
          <w:bCs w:val="1"/>
          <w:color w:val="auto"/>
        </w:rPr>
      </w:pPr>
    </w:p>
    <w:p>
      <w:pPr>
        <w:ind w:right="40" w:firstLine="644"/>
        <w:spacing w:after="0" w:line="241" w:lineRule="auto"/>
        <w:tabs>
          <w:tab w:leader="none" w:pos="1224"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“Contributions</w:t>
      </w:r>
      <w:r>
        <w:rPr>
          <w:rFonts w:ascii="Times New Roman" w:cs="Times New Roman" w:eastAsia="Times New Roman" w:hAnsi="Times New Roman"/>
          <w:sz w:val="22"/>
          <w:szCs w:val="22"/>
          <w:color w:val="auto"/>
        </w:rPr>
        <w:t>” means the payroll deductions and other additional payments specifically provided for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71" w:lineRule="exact"/>
        <w:rPr>
          <w:rFonts w:ascii="Times New Roman" w:cs="Times New Roman" w:eastAsia="Times New Roman" w:hAnsi="Times New Roman"/>
          <w:sz w:val="22"/>
          <w:szCs w:val="22"/>
          <w:b w:val="1"/>
          <w:bCs w:val="1"/>
          <w:color w:val="auto"/>
        </w:rPr>
      </w:pPr>
    </w:p>
    <w:p>
      <w:pPr>
        <w:ind w:right="180" w:firstLine="644"/>
        <w:spacing w:after="0" w:line="264" w:lineRule="auto"/>
        <w:tabs>
          <w:tab w:leader="none" w:pos="1164"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consummation, in a single transaction or in a series of related transactions, of any one or more of the following events:</w:t>
      </w:r>
    </w:p>
    <w:p>
      <w:pPr>
        <w:spacing w:after="0" w:line="151" w:lineRule="exact"/>
        <w:rPr>
          <w:rFonts w:ascii="Times New Roman" w:cs="Times New Roman" w:eastAsia="Times New Roman" w:hAnsi="Times New Roman"/>
          <w:sz w:val="22"/>
          <w:szCs w:val="22"/>
          <w:b w:val="1"/>
          <w:bCs w:val="1"/>
          <w:color w:val="auto"/>
        </w:rPr>
      </w:pPr>
    </w:p>
    <w:p>
      <w:pPr>
        <w:ind w:right="160" w:firstLine="1281"/>
        <w:spacing w:after="0" w:line="258" w:lineRule="auto"/>
        <w:tabs>
          <w:tab w:leader="none" w:pos="1801" w:val="left"/>
        </w:tabs>
        <w:numPr>
          <w:ilvl w:val="1"/>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all or substantially all, as determined by the Board in its sole discretion, of the consolidated assets of the Company and its Subsidiaries;</w:t>
      </w:r>
    </w:p>
    <w:p>
      <w:pPr>
        <w:spacing w:after="0" w:line="158" w:lineRule="exact"/>
        <w:rPr>
          <w:rFonts w:ascii="Times New Roman" w:cs="Times New Roman" w:eastAsia="Times New Roman" w:hAnsi="Times New Roman"/>
          <w:sz w:val="22"/>
          <w:szCs w:val="22"/>
          <w:b w:val="1"/>
          <w:bCs w:val="1"/>
          <w:color w:val="auto"/>
        </w:rPr>
      </w:pPr>
    </w:p>
    <w:p>
      <w:pPr>
        <w:ind w:left="1860" w:hanging="579"/>
        <w:spacing w:after="0"/>
        <w:tabs>
          <w:tab w:leader="none" w:pos="1860" w:val="left"/>
        </w:tabs>
        <w:numPr>
          <w:ilvl w:val="1"/>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at least 90% of the outstanding securities of the Company;</w:t>
      </w:r>
    </w:p>
    <w:p>
      <w:pPr>
        <w:spacing w:after="0" w:line="206" w:lineRule="exact"/>
        <w:rPr>
          <w:rFonts w:ascii="Times New Roman" w:cs="Times New Roman" w:eastAsia="Times New Roman" w:hAnsi="Times New Roman"/>
          <w:sz w:val="22"/>
          <w:szCs w:val="22"/>
          <w:b w:val="1"/>
          <w:bCs w:val="1"/>
          <w:color w:val="auto"/>
        </w:rPr>
      </w:pPr>
    </w:p>
    <w:p>
      <w:pPr>
        <w:ind w:left="1920" w:hanging="639"/>
        <w:spacing w:after="0"/>
        <w:tabs>
          <w:tab w:leader="none" w:pos="1920" w:val="left"/>
        </w:tabs>
        <w:numPr>
          <w:ilvl w:val="1"/>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not the surviving</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3" w:name="page244"/>
    <w:bookmarkEnd w:id="243"/>
    <w:p>
      <w:pPr>
        <w:spacing w:after="0" w:line="185" w:lineRule="exact"/>
        <w:rPr>
          <w:sz w:val="20"/>
          <w:szCs w:val="20"/>
          <w:color w:val="auto"/>
        </w:rPr>
      </w:pPr>
    </w:p>
    <w:p>
      <w:pPr>
        <w:ind w:right="240" w:firstLine="1281"/>
        <w:spacing w:after="0" w:line="239" w:lineRule="auto"/>
        <w:tabs>
          <w:tab w:leader="none" w:pos="1909" w:val="left"/>
        </w:tabs>
        <w:numPr>
          <w:ilvl w:val="2"/>
          <w:numId w:val="3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4" w:lineRule="exact"/>
        <w:rPr>
          <w:rFonts w:ascii="Times New Roman" w:cs="Times New Roman" w:eastAsia="Times New Roman" w:hAnsi="Times New Roman"/>
          <w:sz w:val="22"/>
          <w:szCs w:val="22"/>
          <w:b w:val="1"/>
          <w:bCs w:val="1"/>
          <w:color w:val="auto"/>
        </w:rPr>
      </w:pPr>
    </w:p>
    <w:p>
      <w:pPr>
        <w:ind w:left="1180" w:hanging="536"/>
        <w:spacing w:after="0"/>
        <w:tabs>
          <w:tab w:leader="none" w:pos="1180" w:val="left"/>
        </w:tabs>
        <w:numPr>
          <w:ilvl w:val="1"/>
          <w:numId w:val="3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b w:val="1"/>
          <w:bCs w:val="1"/>
          <w:color w:val="auto"/>
        </w:rPr>
      </w:pPr>
    </w:p>
    <w:p>
      <w:pPr>
        <w:jc w:val="both"/>
        <w:ind w:right="220" w:firstLine="644"/>
        <w:spacing w:after="0" w:line="247" w:lineRule="auto"/>
        <w:tabs>
          <w:tab w:leader="none" w:pos="1224" w:val="left"/>
        </w:tabs>
        <w:numPr>
          <w:ilvl w:val="1"/>
          <w:numId w:val="3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Employee</w:t>
      </w:r>
      <w:r>
        <w:rPr>
          <w:rFonts w:ascii="Times New Roman" w:cs="Times New Roman" w:eastAsia="Times New Roman" w:hAnsi="Times New Roman"/>
          <w:sz w:val="22"/>
          <w:szCs w:val="22"/>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63" w:lineRule="exact"/>
        <w:rPr>
          <w:rFonts w:ascii="Times New Roman" w:cs="Times New Roman" w:eastAsia="Times New Roman" w:hAnsi="Times New Roman"/>
          <w:sz w:val="22"/>
          <w:szCs w:val="22"/>
          <w:b w:val="1"/>
          <w:bCs w:val="1"/>
          <w:color w:val="auto"/>
        </w:rPr>
      </w:pPr>
    </w:p>
    <w:p>
      <w:pPr>
        <w:ind w:left="1180" w:hanging="536"/>
        <w:spacing w:after="0"/>
        <w:tabs>
          <w:tab w:leader="none" w:pos="1180" w:val="left"/>
        </w:tabs>
        <w:numPr>
          <w:ilvl w:val="1"/>
          <w:numId w:val="3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means any person, including an Officer or Director, who is “employed” for purposes of Section 423(b)</w:t>
      </w:r>
    </w:p>
    <w:p>
      <w:pPr>
        <w:spacing w:after="0" w:line="31" w:lineRule="exact"/>
        <w:rPr>
          <w:rFonts w:ascii="Times New Roman" w:cs="Times New Roman" w:eastAsia="Times New Roman" w:hAnsi="Times New Roman"/>
          <w:sz w:val="21"/>
          <w:szCs w:val="21"/>
          <w:b w:val="1"/>
          <w:bCs w:val="1"/>
          <w:color w:val="auto"/>
        </w:rPr>
      </w:pPr>
    </w:p>
    <w:p>
      <w:pPr>
        <w:ind w:right="360" w:firstLine="8"/>
        <w:spacing w:after="0" w:line="237" w:lineRule="auto"/>
        <w:tabs>
          <w:tab w:leader="none" w:pos="30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by the Company or a Related Corporation. However, service solely as a Director, or payment of a fee for such services, will not cause a Director to be considered an “Employee” for purposes of the Plan.</w:t>
      </w:r>
    </w:p>
    <w:p>
      <w:pPr>
        <w:spacing w:after="0" w:line="172" w:lineRule="exact"/>
        <w:rPr>
          <w:rFonts w:ascii="Times New Roman" w:cs="Times New Roman" w:eastAsia="Times New Roman" w:hAnsi="Times New Roman"/>
          <w:sz w:val="22"/>
          <w:szCs w:val="22"/>
          <w:color w:val="auto"/>
        </w:rPr>
      </w:pPr>
    </w:p>
    <w:p>
      <w:pPr>
        <w:ind w:firstLine="644"/>
        <w:spacing w:after="0" w:line="264" w:lineRule="auto"/>
        <w:tabs>
          <w:tab w:leader="none" w:pos="1284" w:val="left"/>
        </w:tabs>
        <w:numPr>
          <w:ilvl w:val="1"/>
          <w:numId w:val="3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means a plan that grants Purchase Rights intended to be options issued under an “employee stock purchase plan,” as that term is defined in Section 423(b) of the Code.</w:t>
      </w:r>
    </w:p>
    <w:p>
      <w:pPr>
        <w:spacing w:after="0" w:line="145" w:lineRule="exact"/>
        <w:rPr>
          <w:rFonts w:ascii="Times New Roman" w:cs="Times New Roman" w:eastAsia="Times New Roman" w:hAnsi="Times New Roman"/>
          <w:sz w:val="22"/>
          <w:szCs w:val="22"/>
          <w:b w:val="1"/>
          <w:bCs w:val="1"/>
          <w:color w:val="auto"/>
        </w:rPr>
      </w:pPr>
    </w:p>
    <w:p>
      <w:pPr>
        <w:ind w:right="1080" w:firstLine="644"/>
        <w:spacing w:after="0" w:line="264" w:lineRule="auto"/>
        <w:tabs>
          <w:tab w:leader="none" w:pos="1224" w:val="left"/>
        </w:tabs>
        <w:numPr>
          <w:ilvl w:val="1"/>
          <w:numId w:val="3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5" w:lineRule="exact"/>
        <w:rPr>
          <w:rFonts w:ascii="Times New Roman" w:cs="Times New Roman" w:eastAsia="Times New Roman" w:hAnsi="Times New Roman"/>
          <w:sz w:val="22"/>
          <w:szCs w:val="22"/>
          <w:b w:val="1"/>
          <w:bCs w:val="1"/>
          <w:color w:val="auto"/>
        </w:rPr>
      </w:pPr>
    </w:p>
    <w:p>
      <w:pPr>
        <w:ind w:left="1220" w:hanging="576"/>
        <w:spacing w:after="0"/>
        <w:tabs>
          <w:tab w:leader="none" w:pos="1220" w:val="left"/>
        </w:tabs>
        <w:numPr>
          <w:ilvl w:val="1"/>
          <w:numId w:val="3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the value of the Common Stock determined as follows: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right="60" w:firstLine="1281"/>
        <w:spacing w:after="0" w:line="236" w:lineRule="auto"/>
        <w:tabs>
          <w:tab w:leader="none" w:pos="1801" w:val="left"/>
        </w:tabs>
        <w:numPr>
          <w:ilvl w:val="0"/>
          <w:numId w:val="3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1" w:lineRule="exact"/>
        <w:rPr>
          <w:rFonts w:ascii="Times New Roman" w:cs="Times New Roman" w:eastAsia="Times New Roman" w:hAnsi="Times New Roman"/>
          <w:sz w:val="22"/>
          <w:szCs w:val="22"/>
          <w:b w:val="1"/>
          <w:bCs w:val="1"/>
          <w:color w:val="auto"/>
        </w:rPr>
      </w:pPr>
    </w:p>
    <w:p>
      <w:pPr>
        <w:ind w:right="400" w:firstLine="1281"/>
        <w:spacing w:after="0" w:line="258" w:lineRule="auto"/>
        <w:tabs>
          <w:tab w:leader="none" w:pos="1861" w:val="left"/>
        </w:tabs>
        <w:numPr>
          <w:ilvl w:val="0"/>
          <w:numId w:val="3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the Fair Market Value will be determined by the Board in good faith in compliance with applicable laws and in a manner that complies with Sections 409A of the Code.</w:t>
      </w:r>
    </w:p>
    <w:p>
      <w:pPr>
        <w:spacing w:after="0" w:line="158" w:lineRule="exact"/>
        <w:rPr>
          <w:rFonts w:ascii="Times New Roman" w:cs="Times New Roman" w:eastAsia="Times New Roman" w:hAnsi="Times New Roman"/>
          <w:sz w:val="22"/>
          <w:szCs w:val="22"/>
          <w:b w:val="1"/>
          <w:bCs w:val="1"/>
          <w:color w:val="auto"/>
        </w:rPr>
      </w:pPr>
    </w:p>
    <w:p>
      <w:pPr>
        <w:jc w:val="both"/>
        <w:ind w:right="160" w:firstLine="1281"/>
        <w:spacing w:after="0" w:line="244" w:lineRule="auto"/>
        <w:tabs>
          <w:tab w:leader="none" w:pos="1921" w:val="left"/>
        </w:tabs>
        <w:numPr>
          <w:ilvl w:val="0"/>
          <w:numId w:val="3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79" w:lineRule="exact"/>
        <w:rPr>
          <w:sz w:val="20"/>
          <w:szCs w:val="20"/>
          <w:color w:val="auto"/>
        </w:rPr>
      </w:pPr>
    </w:p>
    <w:p>
      <w:pPr>
        <w:ind w:right="80" w:firstLine="644"/>
        <w:spacing w:after="0" w:line="288" w:lineRule="auto"/>
        <w:tabs>
          <w:tab w:leader="none" w:pos="1224" w:val="left"/>
        </w:tabs>
        <w:numPr>
          <w:ilvl w:val="0"/>
          <w:numId w:val="3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IPO Date</w:t>
      </w:r>
      <w:r>
        <w:rPr>
          <w:rFonts w:ascii="Times New Roman" w:cs="Times New Roman" w:eastAsia="Times New Roman" w:hAnsi="Times New Roman"/>
          <w:sz w:val="21"/>
          <w:szCs w:val="21"/>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22" w:lineRule="exact"/>
        <w:rPr>
          <w:rFonts w:ascii="Times New Roman" w:cs="Times New Roman" w:eastAsia="Times New Roman" w:hAnsi="Times New Roman"/>
          <w:sz w:val="21"/>
          <w:szCs w:val="21"/>
          <w:b w:val="1"/>
          <w:bCs w:val="1"/>
          <w:color w:val="auto"/>
        </w:rPr>
      </w:pPr>
    </w:p>
    <w:p>
      <w:pPr>
        <w:ind w:firstLine="644"/>
        <w:spacing w:after="0" w:line="247" w:lineRule="auto"/>
        <w:tabs>
          <w:tab w:leader="none" w:pos="1224"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w:t>
      </w:r>
      <w:r>
        <w:rPr>
          <w:rFonts w:ascii="Times New Roman" w:cs="Times New Roman" w:eastAsia="Times New Roman" w:hAnsi="Times New Roman"/>
          <w:sz w:val="22"/>
          <w:szCs w:val="22"/>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22"/>
          <w:szCs w:val="22"/>
          <w:b w:val="1"/>
          <w:bCs w:val="1"/>
          <w:i w:val="1"/>
          <w:iCs w:val="1"/>
          <w:color w:val="auto"/>
        </w:rPr>
        <w:t>Offering Document</w:t>
      </w:r>
      <w:r>
        <w:rPr>
          <w:rFonts w:ascii="Times New Roman" w:cs="Times New Roman" w:eastAsia="Times New Roman" w:hAnsi="Times New Roman"/>
          <w:sz w:val="22"/>
          <w:szCs w:val="22"/>
          <w:color w:val="auto"/>
        </w:rPr>
        <w:t>” approved by the Board for that Offering.</w:t>
      </w:r>
    </w:p>
    <w:p>
      <w:pPr>
        <w:spacing w:after="0" w:line="163" w:lineRule="exact"/>
        <w:rPr>
          <w:rFonts w:ascii="Times New Roman" w:cs="Times New Roman" w:eastAsia="Times New Roman" w:hAnsi="Times New Roman"/>
          <w:sz w:val="22"/>
          <w:szCs w:val="22"/>
          <w:b w:val="1"/>
          <w:bCs w:val="1"/>
          <w:color w:val="auto"/>
        </w:rPr>
      </w:pPr>
    </w:p>
    <w:p>
      <w:pPr>
        <w:ind w:left="1260" w:hanging="616"/>
        <w:spacing w:after="0"/>
        <w:tabs>
          <w:tab w:leader="none" w:pos="126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 Date</w:t>
      </w:r>
      <w:r>
        <w:rPr>
          <w:rFonts w:ascii="Times New Roman" w:cs="Times New Roman" w:eastAsia="Times New Roman" w:hAnsi="Times New Roman"/>
          <w:sz w:val="22"/>
          <w:szCs w:val="22"/>
          <w:color w:val="auto"/>
        </w:rPr>
        <w:t>” means a date selected by the Board for an Offering to commence.</w:t>
      </w:r>
    </w:p>
    <w:p>
      <w:pPr>
        <w:spacing w:after="0" w:line="206" w:lineRule="exact"/>
        <w:rPr>
          <w:rFonts w:ascii="Times New Roman" w:cs="Times New Roman" w:eastAsia="Times New Roman" w:hAnsi="Times New Roman"/>
          <w:sz w:val="22"/>
          <w:szCs w:val="22"/>
          <w:b w:val="1"/>
          <w:bCs w:val="1"/>
          <w:color w:val="auto"/>
        </w:rPr>
      </w:pPr>
    </w:p>
    <w:p>
      <w:pPr>
        <w:ind w:firstLine="644"/>
        <w:spacing w:after="0" w:line="264" w:lineRule="auto"/>
        <w:tabs>
          <w:tab w:leader="none" w:pos="1188"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a person who is an officer of the Company or a Related Corporation within the meaning of Section 16 of the Exchange Act.</w:t>
      </w:r>
    </w:p>
    <w:p>
      <w:pPr>
        <w:spacing w:after="0" w:line="145" w:lineRule="exact"/>
        <w:rPr>
          <w:rFonts w:ascii="Times New Roman" w:cs="Times New Roman" w:eastAsia="Times New Roman" w:hAnsi="Times New Roman"/>
          <w:sz w:val="22"/>
          <w:szCs w:val="22"/>
          <w:b w:val="1"/>
          <w:bCs w:val="1"/>
          <w:color w:val="auto"/>
        </w:rPr>
      </w:pPr>
    </w:p>
    <w:p>
      <w:pPr>
        <w:ind w:left="1180" w:hanging="536"/>
        <w:spacing w:after="0"/>
        <w:tabs>
          <w:tab w:leader="none" w:pos="118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 Eligible Employee who holds an outstanding Purchase Right.</w:t>
      </w:r>
    </w:p>
    <w:p>
      <w:pPr>
        <w:spacing w:after="0" w:line="206" w:lineRule="exact"/>
        <w:rPr>
          <w:rFonts w:ascii="Times New Roman" w:cs="Times New Roman" w:eastAsia="Times New Roman" w:hAnsi="Times New Roman"/>
          <w:sz w:val="22"/>
          <w:szCs w:val="22"/>
          <w:b w:val="1"/>
          <w:bCs w:val="1"/>
          <w:color w:val="auto"/>
        </w:rPr>
      </w:pPr>
    </w:p>
    <w:p>
      <w:pPr>
        <w:ind w:left="1240" w:hanging="596"/>
        <w:spacing w:after="0"/>
        <w:tabs>
          <w:tab w:leader="none" w:pos="124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Kyntra Bio, Inc. 2014 Employee Stock Purchase Plan.</w:t>
      </w:r>
    </w:p>
    <w:p>
      <w:pPr>
        <w:spacing w:after="0" w:line="206" w:lineRule="exact"/>
        <w:rPr>
          <w:rFonts w:ascii="Times New Roman" w:cs="Times New Roman" w:eastAsia="Times New Roman" w:hAnsi="Times New Roman"/>
          <w:sz w:val="22"/>
          <w:szCs w:val="22"/>
          <w:b w:val="1"/>
          <w:bCs w:val="1"/>
          <w:color w:val="auto"/>
        </w:rPr>
      </w:pPr>
    </w:p>
    <w:p>
      <w:pPr>
        <w:ind w:firstLine="644"/>
        <w:spacing w:after="0" w:line="264" w:lineRule="auto"/>
        <w:tabs>
          <w:tab w:leader="none" w:pos="1212"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Date</w:t>
      </w:r>
      <w:r>
        <w:rPr>
          <w:rFonts w:ascii="Times New Roman" w:cs="Times New Roman" w:eastAsia="Times New Roman" w:hAnsi="Times New Roman"/>
          <w:sz w:val="22"/>
          <w:szCs w:val="22"/>
          <w:color w:val="auto"/>
        </w:rPr>
        <w:t>” means one or more dates during an Offering selected by the Board on which Purchase Rights will be exercised and on which purchases of shares of Common Stock will be carried out in accordance with such Offering.</w:t>
      </w:r>
    </w:p>
    <w:p>
      <w:pPr>
        <w:spacing w:after="0" w:line="145" w:lineRule="exact"/>
        <w:rPr>
          <w:rFonts w:ascii="Times New Roman" w:cs="Times New Roman" w:eastAsia="Times New Roman" w:hAnsi="Times New Roman"/>
          <w:sz w:val="22"/>
          <w:szCs w:val="22"/>
          <w:b w:val="1"/>
          <w:bCs w:val="1"/>
          <w:color w:val="auto"/>
        </w:rPr>
      </w:pPr>
    </w:p>
    <w:p>
      <w:pPr>
        <w:ind w:right="80" w:firstLine="644"/>
        <w:spacing w:after="0" w:line="247" w:lineRule="auto"/>
        <w:tabs>
          <w:tab w:leader="none" w:pos="126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Period</w:t>
      </w:r>
      <w:r>
        <w:rPr>
          <w:rFonts w:ascii="Times New Roman" w:cs="Times New Roman" w:eastAsia="Times New Roman" w:hAnsi="Times New Roman"/>
          <w:sz w:val="22"/>
          <w:szCs w:val="22"/>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63" w:lineRule="exact"/>
        <w:rPr>
          <w:rFonts w:ascii="Times New Roman" w:cs="Times New Roman" w:eastAsia="Times New Roman" w:hAnsi="Times New Roman"/>
          <w:sz w:val="22"/>
          <w:szCs w:val="22"/>
          <w:b w:val="1"/>
          <w:bCs w:val="1"/>
          <w:color w:val="auto"/>
        </w:rPr>
      </w:pPr>
    </w:p>
    <w:p>
      <w:pPr>
        <w:ind w:left="1220" w:hanging="576"/>
        <w:spacing w:after="0"/>
        <w:tabs>
          <w:tab w:leader="none" w:pos="122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Right</w:t>
      </w:r>
      <w:r>
        <w:rPr>
          <w:rFonts w:ascii="Times New Roman" w:cs="Times New Roman" w:eastAsia="Times New Roman" w:hAnsi="Times New Roman"/>
          <w:sz w:val="22"/>
          <w:szCs w:val="22"/>
          <w:color w:val="auto"/>
        </w:rPr>
        <w:t>” means an option to purchase shares of Common Stock granted pursuant to the Plan.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0"/>
          <w:szCs w:val="20"/>
          <w:color w:val="auto"/>
        </w:rPr>
      </w:pPr>
    </w:p>
    <w:p>
      <w:pPr>
        <w:ind w:right="140" w:firstLine="644"/>
        <w:spacing w:after="0" w:line="264" w:lineRule="auto"/>
        <w:tabs>
          <w:tab w:leader="none" w:pos="1212" w:val="left"/>
        </w:tabs>
        <w:numPr>
          <w:ilvl w:val="0"/>
          <w:numId w:val="3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Related Corporation</w:t>
      </w:r>
      <w:r>
        <w:rPr>
          <w:rFonts w:ascii="Times New Roman" w:cs="Times New Roman" w:eastAsia="Times New Roman" w:hAnsi="Times New Roman"/>
          <w:sz w:val="22"/>
          <w:szCs w:val="22"/>
          <w:color w:val="auto"/>
        </w:rPr>
        <w:t>” means any “parent corporation” or “subsidiary corporation” of the Company whether now or subsequently established, as those terms are defined in Sections 424(e) and (f), respectively, of the Code.</w:t>
      </w:r>
    </w:p>
    <w:p>
      <w:pPr>
        <w:spacing w:after="0" w:line="145" w:lineRule="exact"/>
        <w:rPr>
          <w:rFonts w:ascii="Times New Roman" w:cs="Times New Roman" w:eastAsia="Times New Roman" w:hAnsi="Times New Roman"/>
          <w:sz w:val="22"/>
          <w:szCs w:val="22"/>
          <w:b w:val="1"/>
          <w:bCs w:val="1"/>
          <w:color w:val="auto"/>
        </w:rPr>
      </w:pPr>
    </w:p>
    <w:p>
      <w:pPr>
        <w:ind w:left="1200" w:hanging="556"/>
        <w:spacing w:after="0"/>
        <w:tabs>
          <w:tab w:leader="none" w:pos="1200" w:val="left"/>
        </w:tabs>
        <w:numPr>
          <w:ilvl w:val="0"/>
          <w:numId w:val="3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sz w:val="20"/>
          <w:szCs w:val="20"/>
          <w:color w:val="auto"/>
        </w:rPr>
      </w:pPr>
    </w:p>
    <w:p>
      <w:pPr>
        <w:ind w:right="440" w:firstLine="644"/>
        <w:spacing w:after="0" w:line="247" w:lineRule="auto"/>
        <w:tabs>
          <w:tab w:leader="none" w:pos="1320" w:val="left"/>
        </w:tabs>
        <w:numPr>
          <w:ilvl w:val="0"/>
          <w:numId w:val="3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1106805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5" w:name="page246"/>
    <w:bookmarkEnd w:id="245"/>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1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BONUS PLAN</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10.5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pproved by</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on</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19, 2025</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Kyntra Bio, Inc. (“Kyntra Bio” or the “Company”) Bonus Plan (the “Plan”) is a discretionary plan, designed to reward eligible participants for the achievement of corporate goals, as well as individual goals that are consistent with the company’s objectives and organizational priorities on an annual basis.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will govern bonuses paid to eligible participants for work performed during the period from January 1 to December 31 of a calendar year (“Plan Year”), with assessments and bonuses to be paid in the following calendar year (“Review Year”).</w:t>
      </w:r>
    </w:p>
    <w:p>
      <w:pPr>
        <w:spacing w:after="0" w:line="169" w:lineRule="exact"/>
        <w:rPr>
          <w:sz w:val="20"/>
          <w:szCs w:val="20"/>
          <w:color w:val="auto"/>
        </w:rPr>
      </w:pPr>
    </w:p>
    <w:p>
      <w:pPr>
        <w:ind w:left="380" w:hanging="372"/>
        <w:spacing w:after="0"/>
        <w:tabs>
          <w:tab w:leader="none" w:pos="380" w:val="left"/>
        </w:tabs>
        <w:numPr>
          <w:ilvl w:val="0"/>
          <w:numId w:val="3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 of the Plan</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Plan is designed to:</w:t>
      </w:r>
    </w:p>
    <w:p>
      <w:pPr>
        <w:spacing w:after="0" w:line="216" w:lineRule="exact"/>
        <w:rPr>
          <w:sz w:val="20"/>
          <w:szCs w:val="20"/>
          <w:color w:val="auto"/>
        </w:rPr>
      </w:pPr>
    </w:p>
    <w:p>
      <w:pPr>
        <w:ind w:left="1140" w:hanging="383"/>
        <w:spacing w:after="0"/>
        <w:tabs>
          <w:tab w:leader="none" w:pos="114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 bonus program that helps achieve overall corporate goals and enhances shareholder value;</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Reward individuals for achievement of corporate and individual goals;</w:t>
      </w:r>
    </w:p>
    <w:p>
      <w:pPr>
        <w:ind w:left="1140" w:hanging="383"/>
        <w:spacing w:after="0"/>
        <w:tabs>
          <w:tab w:leader="none" w:pos="114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Encourage teamwork among all disciplines within the Company;</w:t>
      </w:r>
    </w:p>
    <w:p>
      <w:pPr>
        <w:ind w:left="1140" w:hanging="383"/>
        <w:spacing w:after="0"/>
        <w:tabs>
          <w:tab w:leader="none" w:pos="114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 an attractive bonus program to help attract and retain key employees.</w:t>
      </w:r>
    </w:p>
    <w:p>
      <w:pPr>
        <w:spacing w:after="0" w:line="20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Plan Governance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Compensation Committee of the Board of Directors or such other committee as the Board of Directors may determine (any such committee, the “Committee”) is responsible for reviewing and approving the Plan and any proposed modifications to the Plan.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CEO of Kyntra Bio is responsible for administration of the Plan, provided that the Committee is responsible for reviewing and approving all compensation for the executive officers of Kyntra Bio. All interpretations and determinations of the Committee under the Plan will be final and binding.</w:t>
      </w:r>
    </w:p>
    <w:p>
      <w:pPr>
        <w:spacing w:after="0" w:line="170" w:lineRule="exact"/>
        <w:rPr>
          <w:sz w:val="20"/>
          <w:szCs w:val="20"/>
          <w:color w:val="auto"/>
        </w:rPr>
      </w:pPr>
    </w:p>
    <w:p>
      <w:pPr>
        <w:ind w:left="380" w:hanging="372"/>
        <w:spacing w:after="0"/>
        <w:tabs>
          <w:tab w:leader="none" w:pos="380" w:val="left"/>
        </w:tabs>
        <w:numPr>
          <w:ilvl w:val="0"/>
          <w:numId w:val="3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Eligibility</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Plan applies solely to employees of Kyntra Bio whom the Company, in its sole discretion, determines meet the eligibility requirements set forth below (“Participant”).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be eligible to receive a discretionary bonus award under this Plan, a Participant must satisfy each of the following eligibility conditions:</w:t>
      </w:r>
    </w:p>
    <w:p>
      <w:pPr>
        <w:spacing w:after="0" w:line="216" w:lineRule="exact"/>
        <w:rPr>
          <w:sz w:val="20"/>
          <w:szCs w:val="20"/>
          <w:color w:val="auto"/>
        </w:rPr>
      </w:pPr>
    </w:p>
    <w:p>
      <w:pPr>
        <w:ind w:left="1140" w:hanging="383"/>
        <w:spacing w:after="0"/>
        <w:tabs>
          <w:tab w:leader="none" w:pos="114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a regular status employee as such status is determined by Kyntra Bio in its sole discretion;</w:t>
      </w:r>
    </w:p>
    <w:p>
      <w:pPr>
        <w:spacing w:after="0" w:line="28" w:lineRule="exact"/>
        <w:rPr>
          <w:rFonts w:ascii="Times New Roman" w:cs="Times New Roman" w:eastAsia="Times New Roman" w:hAnsi="Times New Roman"/>
          <w:sz w:val="20"/>
          <w:szCs w:val="20"/>
          <w:color w:val="auto"/>
        </w:rPr>
      </w:pPr>
    </w:p>
    <w:p>
      <w:pPr>
        <w:ind w:left="1140" w:hanging="383"/>
        <w:spacing w:after="0" w:line="200" w:lineRule="auto"/>
        <w:tabs>
          <w:tab w:leader="none" w:pos="114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hired on or before September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of the Plan Year;</w:t>
      </w:r>
    </w:p>
    <w:p>
      <w:pPr>
        <w:ind w:left="1140" w:hanging="383"/>
        <w:spacing w:after="0"/>
        <w:tabs>
          <w:tab w:leader="none" w:pos="114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attain achievement of performance goals at the end of the Plan Year,</w:t>
      </w:r>
    </w:p>
    <w:p>
      <w:pPr>
        <w:ind w:left="1140" w:hanging="383"/>
        <w:spacing w:after="0"/>
        <w:tabs>
          <w:tab w:leader="none" w:pos="114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have been continuously employed during the Plan Year and on the actual date of bonus payment distribution;</w:t>
      </w:r>
    </w:p>
    <w:p>
      <w:pPr>
        <w:ind w:left="1140" w:right="200" w:hanging="383"/>
        <w:spacing w:after="0" w:line="252" w:lineRule="auto"/>
        <w:tabs>
          <w:tab w:leader="none" w:pos="1140"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Must not be providing services to Kyntra Bio as, or classified as (whether or not such classification is upheld upon review by an applicable legal authority), a temporary employee or intern or as an independent contractor, consultant, or agent, under a</w:t>
      </w:r>
    </w:p>
    <w:p>
      <w:pPr>
        <w:ind w:left="1140"/>
        <w:spacing w:after="0"/>
        <w:rPr>
          <w:sz w:val="20"/>
          <w:szCs w:val="20"/>
          <w:color w:val="auto"/>
        </w:rPr>
      </w:pPr>
      <w:r>
        <w:rPr>
          <w:rFonts w:ascii="Times New Roman" w:cs="Times New Roman" w:eastAsia="Times New Roman" w:hAnsi="Times New Roman"/>
          <w:sz w:val="20"/>
          <w:szCs w:val="20"/>
          <w:color w:val="auto"/>
        </w:rPr>
        <w:t>written or oral contract;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NUMPAGES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6" w:name="page247"/>
    <w:bookmarkEnd w:id="246"/>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1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BONUS PLAN</w:t>
      </w:r>
    </w:p>
    <w:p>
      <w:pPr>
        <w:spacing w:after="0" w:line="200" w:lineRule="exact"/>
        <w:rPr>
          <w:sz w:val="20"/>
          <w:szCs w:val="20"/>
          <w:color w:val="auto"/>
        </w:rPr>
      </w:pPr>
    </w:p>
    <w:p>
      <w:pPr>
        <w:spacing w:after="0" w:line="317" w:lineRule="exact"/>
        <w:rPr>
          <w:sz w:val="20"/>
          <w:szCs w:val="20"/>
          <w:color w:val="auto"/>
        </w:rPr>
      </w:pPr>
    </w:p>
    <w:p>
      <w:pPr>
        <w:jc w:val="both"/>
        <w:ind w:left="1140" w:right="100" w:hanging="383"/>
        <w:spacing w:after="0" w:line="249" w:lineRule="auto"/>
        <w:tabs>
          <w:tab w:leader="none" w:pos="114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not have at any time until the date that bonuses are paid under the Plan, (a) violated any provision of Kyntra Bio’s Code of Conduct or any other written Company policy, or (ii) entered into an employment termination or separation agreement (not including agreements entered into in connection with the commencement or continuation of employment), or (iii) been subject to a performance improvement plan.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Participant will have no right to receive and will not have been deemed to have earned any Bonus if the preceding conditions are not met.</w:t>
      </w:r>
    </w:p>
    <w:p>
      <w:pPr>
        <w:spacing w:after="0" w:line="212" w:lineRule="exact"/>
        <w:rPr>
          <w:sz w:val="20"/>
          <w:szCs w:val="20"/>
          <w:color w:val="auto"/>
        </w:rPr>
      </w:pPr>
    </w:p>
    <w:p>
      <w:pPr>
        <w:ind w:left="380" w:hanging="372"/>
        <w:spacing w:after="0"/>
        <w:tabs>
          <w:tab w:leader="none" w:pos="380" w:val="left"/>
        </w:tabs>
        <w:numPr>
          <w:ilvl w:val="0"/>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Corporate and Individual Performance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CEO will present to the Committee a list of the overall corporate goals (Corporate Goals”) for the Plan year, which is subject to approval by the Committee February 28. All Participants in the Plan will then develop a list of key individual goals (“Individual Goals”) no later than March 31 which will be subject to approval by their manager no later than April 15 and will be used as the basis of the performance review and individual performance rating (“Individual Performance Rating”).</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total bonus pool for the Plan will be based on achievement of the Plan Year Corporate Goals and, where applicable, the Individual Performance Rating.</w:t>
      </w:r>
    </w:p>
    <w:p>
      <w:pPr>
        <w:spacing w:after="0" w:line="155" w:lineRule="exact"/>
        <w:rPr>
          <w:sz w:val="20"/>
          <w:szCs w:val="20"/>
          <w:color w:val="auto"/>
        </w:rPr>
      </w:pPr>
    </w:p>
    <w:p>
      <w:pPr>
        <w:ind w:left="380" w:hanging="372"/>
        <w:spacing w:after="0"/>
        <w:tabs>
          <w:tab w:leader="none" w:pos="380" w:val="left"/>
        </w:tabs>
        <w:numPr>
          <w:ilvl w:val="0"/>
          <w:numId w:val="3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Bonus Awards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Bonus awards are based on achievement of the Plan Year Corporate Goals and, where applicable, the Individual Performance Rating. The Bonus will be calculated by using the actual base salary earned during the Plan Year for exempt employees, and using the actual earnings during the Plan Year for non-exempt employees as defined by law, and further include weighting factor, target bonus percentage, and goal multipliers as identified below.</w:t>
      </w:r>
    </w:p>
    <w:p>
      <w:pPr>
        <w:spacing w:after="0" w:line="176" w:lineRule="exact"/>
        <w:rPr>
          <w:sz w:val="20"/>
          <w:szCs w:val="20"/>
          <w:color w:val="auto"/>
        </w:rPr>
      </w:pPr>
    </w:p>
    <w:p>
      <w:pPr>
        <w:ind w:left="380" w:hanging="372"/>
        <w:spacing w:after="0"/>
        <w:tabs>
          <w:tab w:leader="none" w:pos="380"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Weighting Factor</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relative weight between the Plan Year Corporate Goals and, where applicable, the Individual Performance Rating components will vary based on levels within the organization as determined by and in the sole discretion of the Committee. The weighting factors will be reviewed annually and adjusted, as necessary or appropriate, by and in the sole discretion of the Committee.</w:t>
      </w:r>
    </w:p>
    <w:p>
      <w:pPr>
        <w:spacing w:after="0" w:line="170" w:lineRule="exact"/>
        <w:rPr>
          <w:sz w:val="20"/>
          <w:szCs w:val="20"/>
          <w:color w:val="auto"/>
        </w:rPr>
      </w:pPr>
    </w:p>
    <w:p>
      <w:pPr>
        <w:ind w:left="380" w:hanging="372"/>
        <w:spacing w:after="0"/>
        <w:tabs>
          <w:tab w:leader="none" w:pos="380"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Target Bonus Percentages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Bonus payout amount will be determined by applying a “target bonus percentage” to the actual base salary earned during the Plan Year, as determined by and in the sole discretion of the Committee.</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actual base salary earned during the Plan Year multiplied by the target bonus percentage will be used to establish the target Bonus for the Plan Year.</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the case of any promotion, such employee will have a weighted average target bonus percentage (with each target bonus percentage used for the amount of time such percentage would be applicable based on such employee’s title).</w:t>
      </w:r>
    </w:p>
    <w:p>
      <w:pPr>
        <w:spacing w:after="0" w:line="317" w:lineRule="exact"/>
        <w:rPr>
          <w:sz w:val="20"/>
          <w:szCs w:val="20"/>
          <w:color w:val="auto"/>
        </w:rPr>
      </w:pPr>
    </w:p>
    <w:p>
      <w:pPr>
        <w:ind w:left="380" w:hanging="372"/>
        <w:spacing w:after="0"/>
        <w:tabs>
          <w:tab w:leader="none" w:pos="380"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GOAL MULTIPLIERS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NUMPAGES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7" w:name="page248"/>
    <w:bookmarkEnd w:id="247"/>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1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BONUS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Corporate Goal Multiplier</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its sole discretion, the Committee will determine the “total corporate goal multiplier” based upon measurement of corporate performance versus the pre-established corporate goals. The Committee will evaluate each corporate goal and shall provide a goal multiplier for such goal based on the achievement of the goal with a range of 0% for goals for which the performance was unacceptable to 150% for goals for which the performance significantly exceeded the goal or was excellent in view of prevailing conditions.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NUMPAGES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8" w:name="page249"/>
    <w:bookmarkEnd w:id="248"/>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1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BONUS PLAN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Individual Goal Multiplier</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“individual goal multiplier” will be determined by taking into account the Participant’s achievement of their individual goals, utilizing the same metrics as used for the corporate goal evaluation.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Goals under the Plan will be set based on performance criteria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212" w:lineRule="exact"/>
        <w:rPr>
          <w:sz w:val="20"/>
          <w:szCs w:val="20"/>
          <w:color w:val="auto"/>
        </w:rPr>
      </w:pPr>
    </w:p>
    <w:p>
      <w:pPr>
        <w:ind w:left="380" w:hanging="372"/>
        <w:spacing w:after="0"/>
        <w:tabs>
          <w:tab w:leader="none" w:pos="380" w:val="left"/>
        </w:tabs>
        <w:numPr>
          <w:ilvl w:val="0"/>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Calculation of Bonus Amount</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example below shows a sample Bonus amount calculation under the Plan. First, a target Bonus amount is calculated for each Plan participant by multiplying the Participant’s actual base salary earned during the Plan Year by the target bonus percentage. This dollar figure is then divided between the corporate component and the individual component based on the weighting factor for that position. This calculation establishes specific dollar target Bonus amounts for the performance period for each of the corporate and individual components.</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the end of the Plan Year, the corporate and individual goal multipliers will be established using the criteria described above. The corporate goal multiplier, which is based on overall corporate performance, is used to calculate the corporate component of the Bonus amount for all Plan participants. This is accomplished by multiplying the target corporate Bonus amount established for each individual by the total corporate goal multiplier. The individual goal multiplier, which is based on an individual’s performance rating, is used in the same way to calculate the actual individual component of the Bonus amount.</w:t>
      </w:r>
    </w:p>
    <w:p>
      <w:pPr>
        <w:spacing w:after="0" w:line="180"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Example: Actual Bonus Amount Calculation</w:t>
            </w:r>
          </w:p>
        </w:tc>
        <w:tc>
          <w:tcPr>
            <w:tcW w:w="292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405"/>
        </w:trPr>
        <w:tc>
          <w:tcPr>
            <w:tcW w:w="6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Salary Paid During Plan Year</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r>
      <w:tr>
        <w:trPr>
          <w:trHeight w:val="378"/>
        </w:trPr>
        <w:tc>
          <w:tcPr>
            <w:tcW w:w="64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Target Bonus Percentage</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78"/>
        </w:trPr>
        <w:tc>
          <w:tcPr>
            <w:tcW w:w="64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Target Bonus Amount</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756"/>
        </w:trPr>
        <w:tc>
          <w:tcPr>
            <w:tcW w:w="64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Target Bonus Components:</w:t>
            </w:r>
          </w:p>
        </w:tc>
        <w:tc>
          <w:tcPr>
            <w:tcW w:w="3280" w:type="dxa"/>
            <w:vAlign w:val="bottom"/>
          </w:tcPr>
          <w:p>
            <w:pPr>
              <w:spacing w:after="0"/>
              <w:rPr>
                <w:sz w:val="24"/>
                <w:szCs w:val="24"/>
                <w:color w:val="auto"/>
              </w:rPr>
            </w:pPr>
          </w:p>
        </w:tc>
      </w:tr>
      <w:tr>
        <w:trPr>
          <w:trHeight w:val="378"/>
        </w:trPr>
        <w:tc>
          <w:tcPr>
            <w:tcW w:w="64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Target Bonus Amount based on corporate performance (50%)</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378"/>
        </w:trPr>
        <w:tc>
          <w:tcPr>
            <w:tcW w:w="64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Target Bonus Amount based on individual performance (50%)</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756"/>
        </w:trPr>
        <w:tc>
          <w:tcPr>
            <w:tcW w:w="64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Corporate Goal Multiplier</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78"/>
        </w:trPr>
        <w:tc>
          <w:tcPr>
            <w:tcW w:w="64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Individual Goal Multiplier</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710"/>
        </w:trPr>
        <w:tc>
          <w:tcPr>
            <w:tcW w:w="6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Actual Bonus Amount Calculation:</w:t>
            </w:r>
          </w:p>
        </w:tc>
        <w:tc>
          <w:tcPr>
            <w:tcW w:w="3280" w:type="dxa"/>
            <w:vAlign w:val="bottom"/>
          </w:tcPr>
          <w:p>
            <w:pPr>
              <w:spacing w:after="0"/>
              <w:rPr>
                <w:sz w:val="24"/>
                <w:szCs w:val="24"/>
                <w:color w:val="auto"/>
              </w:rPr>
            </w:pPr>
          </w:p>
        </w:tc>
      </w:tr>
      <w:tr>
        <w:trPr>
          <w:trHeight w:val="405"/>
        </w:trPr>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Corporate Bonus Amount</w:t>
            </w:r>
          </w:p>
        </w:tc>
        <w:tc>
          <w:tcPr>
            <w:tcW w:w="3680" w:type="dxa"/>
            <w:vAlign w:val="bottom"/>
            <w:gridSpan w:val="2"/>
          </w:tcPr>
          <w:p>
            <w:pPr>
              <w:spacing w:after="0"/>
              <w:rPr>
                <w:sz w:val="24"/>
                <w:szCs w:val="24"/>
                <w:color w:val="auto"/>
              </w:rPr>
            </w:pP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 ($5,000 x 80%)</w:t>
            </w:r>
          </w:p>
        </w:tc>
      </w:tr>
      <w:tr>
        <w:trPr>
          <w:trHeight w:val="378"/>
        </w:trPr>
        <w:tc>
          <w:tcPr>
            <w:tcW w:w="6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Individual Bonus Amount</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$5,250 ($5,000 x 105%)</w:t>
            </w:r>
          </w:p>
        </w:tc>
      </w:tr>
      <w:tr>
        <w:trPr>
          <w:trHeight w:val="378"/>
        </w:trPr>
        <w:tc>
          <w:tcPr>
            <w:tcW w:w="6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Actual Cash Bonus Amount (prior to taxes)</w:t>
            </w:r>
          </w:p>
        </w:tc>
        <w:tc>
          <w:tcPr>
            <w:tcW w:w="3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$9,250</w:t>
            </w:r>
          </w:p>
        </w:tc>
      </w:tr>
    </w:tbl>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NUMPAGES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9" w:name="page250"/>
    <w:bookmarkEnd w:id="249"/>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1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BONUS PLAN</w:t>
      </w:r>
    </w:p>
    <w:p>
      <w:pPr>
        <w:spacing w:after="0" w:line="200" w:lineRule="exact"/>
        <w:rPr>
          <w:sz w:val="20"/>
          <w:szCs w:val="20"/>
          <w:color w:val="auto"/>
        </w:rPr>
      </w:pPr>
    </w:p>
    <w:p>
      <w:pPr>
        <w:spacing w:after="0" w:line="313" w:lineRule="exact"/>
        <w:rPr>
          <w:sz w:val="20"/>
          <w:szCs w:val="20"/>
          <w:color w:val="auto"/>
        </w:rPr>
      </w:pPr>
    </w:p>
    <w:p>
      <w:pPr>
        <w:ind w:left="380" w:hanging="372"/>
        <w:spacing w:after="0"/>
        <w:tabs>
          <w:tab w:leader="none" w:pos="380" w:val="left"/>
        </w:tabs>
        <w:numPr>
          <w:ilvl w:val="0"/>
          <w:numId w:val="3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Bonus Payments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Annual performance reviews for Plan participants will be completed by January 31 of the Review Year or as soon thereafter as practicable. Payments of actual Bonus amounts (less applicable taxes) will be made as soon as practical, but no later than March 15 of the Review Year. The calculation and payment of bonus awards under this Plan will occur as soon as administratively practicable following the completion of the applicable Plan Year and the Committee’s determination and approval of any applicable bonus awards, but no later than March 15 of the Review Year.</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Bonus payments shall be paid in accordance with the Company’s usual payroll procedures in effect from time to time and shall be subject to state and federal income taxes, social security taxes, deductions authorized by Employee, and such other deductions as laws in force may require.</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Bonus payments for Participants hired by Kyntra Bio after January 1 of a Plan Year will be subject to proration in the sole discretion of Kyntra Bio based on the number of full months (rounded to the nearest full month) that a Participant worked in the Plan Year, however, Kyntra Bio reserves the right to, in its sole discretion, pro-rate bonuses based on days or on any other basis. For example, the pro-ration factor for a Participant who is eligible to participate in the Plan for the entire applicable Plan Year will be 1.00; for a Participant who is eligible to participate in the Plan for one-half of the Plan Year, the pro-ration factor will be .50. Participants in the following situations may have a pro-ration factor less than 1.00: (a) new hires and individuals who become eligible Participants during the applicable Plan Year; (b) individuals who transfer between an exempt and non-exempt position within Kyntra Bio; (c) Participants who work less than the applicable full-time standard work week of forty (40) hours; and (d) Participants who take unpaid time off or a leave of absence beyond the maximum leave of absence period protected under federal or state law or local ordinance.</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bonus payment provided for under the Plan is completely discretionary, and is not considered earned or accrued by a Participant until it is actually paid.</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If employment with Kyntra Bio terminates, for any reason, prior to the date a bonus payment is made, an individual will not be eligible to receive any bonus payment</w:t>
      </w:r>
    </w:p>
    <w:p>
      <w:pPr>
        <w:spacing w:after="0" w:line="155" w:lineRule="exact"/>
        <w:rPr>
          <w:sz w:val="20"/>
          <w:szCs w:val="20"/>
          <w:color w:val="auto"/>
        </w:rPr>
      </w:pPr>
    </w:p>
    <w:p>
      <w:pPr>
        <w:ind w:left="380" w:hanging="372"/>
        <w:spacing w:after="0"/>
        <w:tabs>
          <w:tab w:leader="none" w:pos="380"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Maximum Bonus Payout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the extent a bonus is paid under this Plan, the maximum bonus payable to any individual shall be one hundred fifty percent (150%) of the individual’s target bonus. The CEO may recommend to the Committee (other than for the CEO), and the Committee may determine in its sole discretion to increase or decrease any individual’s bonus based on individual performance.</w:t>
      </w:r>
    </w:p>
    <w:p>
      <w:pPr>
        <w:spacing w:after="0" w:line="170" w:lineRule="exact"/>
        <w:rPr>
          <w:sz w:val="20"/>
          <w:szCs w:val="20"/>
          <w:color w:val="auto"/>
        </w:rPr>
      </w:pPr>
    </w:p>
    <w:p>
      <w:pPr>
        <w:ind w:left="380" w:hanging="372"/>
        <w:spacing w:after="0"/>
        <w:tabs>
          <w:tab w:leader="none" w:pos="380" w:val="left"/>
        </w:tabs>
        <w:numPr>
          <w:ilvl w:val="0"/>
          <w:numId w:val="3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Company’s Absolute Right to Alter or Abolish the Plan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Committee reserves the right in its absolute discretion to terminate and/or abolish all or any portion of the Plan at any time or to alter the terms and conditions under which a Bonus will be paid. In the event of the Plan’s termination prior to the payment of a Bonus, such Bonus will not be payable under this Plan. Such discretion may be exercised any time before, during, and after the Plan year is completed. No participant shall have any right to receive any payment until actual delivery of such compensation.</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Notwithstanding the generality of the foregoing, at Kyntra Bio’s discretion, and subject to compliance in all events with, and if and only if permitted by applicable federal and state securities laws and the listing rules and requirements of any stock exchange or trading market on which the Company’s common stock is listed or traded,</w:t>
      </w:r>
    </w:p>
    <w:p>
      <w:pPr>
        <w:jc w:val="center"/>
        <w:spacing w:after="0"/>
        <w:rPr>
          <w:sz w:val="20"/>
          <w:szCs w:val="20"/>
          <w:color w:val="auto"/>
        </w:rPr>
      </w:pPr>
      <w:r>
        <w:rPr>
          <w:rFonts w:ascii="Times New Roman" w:cs="Times New Roman" w:eastAsia="Times New Roman" w:hAnsi="Times New Roman"/>
          <w:sz w:val="18"/>
          <w:szCs w:val="18"/>
          <w:color w:val="auto"/>
        </w:rPr>
        <w:t>Page 5 of NUMPAGES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0" w:name="page251"/>
    <w:bookmarkEnd w:id="250"/>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1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BONUS PLAN</w:t>
      </w:r>
    </w:p>
    <w:p>
      <w:pPr>
        <w:spacing w:after="0" w:line="200" w:lineRule="exact"/>
        <w:rPr>
          <w:sz w:val="20"/>
          <w:szCs w:val="20"/>
          <w:color w:val="auto"/>
        </w:rPr>
      </w:pPr>
    </w:p>
    <w:p>
      <w:pPr>
        <w:spacing w:after="0" w:line="3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 or a portion of a Bonus payment may be made in vested shares of the Company’s common stock. Any such issuance of shares will be made pursuant to an award granted under the Company’s 2014 Equity Incentive Plan, or a successor plan thereto. No payment in stock or other equity under this Plan may be made if such issuance or payment would conflict with any such securities laws or listing rules or requirements.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Committee, in its sole discretion, may also determine whether to increase the payout under the Plan for extraordinary achievement or to reduce payout if economic and business conditions warrant such action.</w:t>
      </w:r>
    </w:p>
    <w:p>
      <w:pPr>
        <w:spacing w:after="0" w:line="169" w:lineRule="exact"/>
        <w:rPr>
          <w:sz w:val="20"/>
          <w:szCs w:val="20"/>
          <w:color w:val="auto"/>
        </w:rPr>
      </w:pPr>
    </w:p>
    <w:p>
      <w:pPr>
        <w:ind w:left="380" w:hanging="372"/>
        <w:spacing w:after="0"/>
        <w:tabs>
          <w:tab w:leader="none" w:pos="380" w:val="left"/>
        </w:tabs>
        <w:numPr>
          <w:ilvl w:val="0"/>
          <w:numId w:val="3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Subject to Clawback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compensation received pursuant to this policy is subject to any clawback policy adopted by Kyntra Bio.</w:t>
      </w:r>
    </w:p>
    <w:p>
      <w:pPr>
        <w:spacing w:after="0" w:line="212" w:lineRule="exact"/>
        <w:rPr>
          <w:sz w:val="20"/>
          <w:szCs w:val="20"/>
          <w:color w:val="auto"/>
        </w:rPr>
      </w:pPr>
    </w:p>
    <w:p>
      <w:pPr>
        <w:ind w:left="380" w:hanging="372"/>
        <w:spacing w:after="0"/>
        <w:tabs>
          <w:tab w:leader="none" w:pos="380" w:val="left"/>
        </w:tabs>
        <w:numPr>
          <w:ilvl w:val="0"/>
          <w:numId w:val="3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Guidelines, Terms and Conditions of the Plan</w:t>
      </w:r>
    </w:p>
    <w:p>
      <w:pPr>
        <w:spacing w:after="0" w:line="233" w:lineRule="exact"/>
        <w:rPr>
          <w:rFonts w:ascii="Times New Roman" w:cs="Times New Roman" w:eastAsia="Times New Roman" w:hAnsi="Times New Roman"/>
          <w:sz w:val="20"/>
          <w:szCs w:val="20"/>
          <w:b w:val="1"/>
          <w:bCs w:val="1"/>
          <w:color w:val="auto"/>
        </w:rPr>
      </w:pPr>
    </w:p>
    <w:p>
      <w:pPr>
        <w:jc w:val="both"/>
        <w:ind w:left="1140" w:hanging="383"/>
        <w:spacing w:after="0" w:line="244" w:lineRule="auto"/>
        <w:tabs>
          <w:tab w:leader="none" w:pos="114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Eligibility to participate in this Plan during any Plan Year: (a) does not create any right or entitlement to participate in this Plan in the future or other bonus plans that may be established or maintained by Kyntra Bio, (b) does not constitute a guarantee or establish an obligation for the Company to maintain a similar plan, award similar bonus benefits, or calculate bonuses according to the same or similar formulas in the future, and (c) does not guarantee that any bonus will actually be paid for that Plan Year and in some cases a Participant may not receive a bonus under the Plan.</w:t>
      </w:r>
    </w:p>
    <w:p>
      <w:pPr>
        <w:jc w:val="both"/>
        <w:ind w:left="1140" w:hanging="383"/>
        <w:spacing w:after="0" w:line="239" w:lineRule="auto"/>
        <w:tabs>
          <w:tab w:leader="none" w:pos="114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bonus payment awarded under this Plan is a discretionary form of compensation that is outside a Participant’s normal, regular or expected compensation, and in no way represents any portion of a Participant’s salary, compensation, or other remuneration for the purpose of calculating any of the following payments: termination, severance, bonuses, long-service awards, overtime premiums, pension or retirement benefits, and any other similar payments and extra benefits.</w:t>
      </w:r>
    </w:p>
    <w:p>
      <w:pPr>
        <w:spacing w:after="0" w:line="1" w:lineRule="exact"/>
        <w:rPr>
          <w:rFonts w:ascii="Times New Roman" w:cs="Times New Roman" w:eastAsia="Times New Roman" w:hAnsi="Times New Roman"/>
          <w:sz w:val="20"/>
          <w:szCs w:val="20"/>
          <w:color w:val="auto"/>
        </w:rPr>
      </w:pPr>
    </w:p>
    <w:p>
      <w:pPr>
        <w:jc w:val="both"/>
        <w:ind w:left="1140" w:hanging="383"/>
        <w:spacing w:after="0" w:line="239" w:lineRule="auto"/>
        <w:tabs>
          <w:tab w:leader="none" w:pos="114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bonus payment made under this Plan shall be counted as compensation for purposes of any other employee benefit plan, Plan or agreement sponsored, maintained or contributed by the Company unless expressly provided for in such employee benefit plan or agreement.</w:t>
      </w:r>
    </w:p>
    <w:p>
      <w:pPr>
        <w:spacing w:after="0" w:line="1" w:lineRule="exact"/>
        <w:rPr>
          <w:rFonts w:ascii="Times New Roman" w:cs="Times New Roman" w:eastAsia="Times New Roman" w:hAnsi="Times New Roman"/>
          <w:sz w:val="20"/>
          <w:szCs w:val="20"/>
          <w:color w:val="auto"/>
        </w:rPr>
      </w:pPr>
    </w:p>
    <w:p>
      <w:pPr>
        <w:jc w:val="both"/>
        <w:ind w:left="1140" w:hanging="383"/>
        <w:spacing w:after="0" w:line="239" w:lineRule="auto"/>
        <w:tabs>
          <w:tab w:leader="none" w:pos="114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who are not actively employed by Kyntra Bio at the time that the payment would otherwise be made under this Plan shall not receive such payment unless and until the Participant returns to active service with Kyntra Bio. This term does not apply to any person on a legally protected leave of absence at the time bonuses are paid.</w:t>
      </w:r>
    </w:p>
    <w:p>
      <w:pPr>
        <w:spacing w:after="0" w:line="1" w:lineRule="exact"/>
        <w:rPr>
          <w:rFonts w:ascii="Times New Roman" w:cs="Times New Roman" w:eastAsia="Times New Roman" w:hAnsi="Times New Roman"/>
          <w:sz w:val="20"/>
          <w:szCs w:val="20"/>
          <w:color w:val="auto"/>
        </w:rPr>
      </w:pPr>
    </w:p>
    <w:p>
      <w:pPr>
        <w:jc w:val="both"/>
        <w:ind w:left="1140" w:hanging="383"/>
        <w:spacing w:after="0" w:line="239" w:lineRule="auto"/>
        <w:tabs>
          <w:tab w:leader="none" w:pos="114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Kyntra Bio reserves the right to interpret this Plan on a fully discretionary basis and to take any action, or to decline to take any action, in relation to the administration or interpretation of the Plan including but not limited to determining eligibility for participation in the Plan, and to determine the amount, if any, to be paid under the Plan. The Committee or its designee shall be the ultimate sole and final arbiter of any disputes under the Plan, in its sole and absolute discretion.</w:t>
      </w:r>
    </w:p>
    <w:p>
      <w:pPr>
        <w:spacing w:after="0" w:line="1" w:lineRule="exact"/>
        <w:rPr>
          <w:rFonts w:ascii="Times New Roman" w:cs="Times New Roman" w:eastAsia="Times New Roman" w:hAnsi="Times New Roman"/>
          <w:sz w:val="20"/>
          <w:szCs w:val="20"/>
          <w:color w:val="auto"/>
        </w:rPr>
      </w:pPr>
    </w:p>
    <w:p>
      <w:pPr>
        <w:ind w:left="1140" w:right="20" w:hanging="383"/>
        <w:spacing w:after="0" w:line="239" w:lineRule="auto"/>
        <w:tabs>
          <w:tab w:leader="none" w:pos="114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Kyntra Bio’s authority as set forth herein shall be exercised by the Committee, except to the extent the Committee delegates all or some of that authority to Kyntra Bio management.</w:t>
      </w:r>
    </w:p>
    <w:p>
      <w:pPr>
        <w:ind w:left="1140" w:hanging="383"/>
        <w:spacing w:after="0" w:line="239" w:lineRule="auto"/>
        <w:tabs>
          <w:tab w:leader="none" w:pos="114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Kyntra Bio has adopted this Plan voluntarily and reserves the right to change, deviate from, suspend or discontinue this Plan, or any individual’s participation in this Plan, at any time, with or without cause and with or without prior written notice.</w:t>
      </w:r>
    </w:p>
    <w:p>
      <w:pPr>
        <w:ind w:left="1140" w:right="220" w:hanging="383"/>
        <w:spacing w:after="0" w:line="239" w:lineRule="auto"/>
        <w:tabs>
          <w:tab w:leader="none" w:pos="114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unfunded and no provision of the Plan shall require Kyntra Bio, for purpose of satisfying any Plan obligations, to purchase assets or place any assets in a trust or other entity or otherwise to segregate any assets for such purposes. Nothing contained in this Plan nor any action taken pursuant to its provisions shall create or be construed to create a fiduciary relationship between Kyntra Bio and any Participant or other person.</w:t>
      </w:r>
    </w:p>
    <w:p>
      <w:pPr>
        <w:spacing w:after="0" w:line="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Plan or Kyntra Bio’s policies and practices in administering this Plan constitutes an express or implied contract</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or other agreement concerning the duration of any participant’s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NUMPAGES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1" w:name="page252"/>
    <w:bookmarkEnd w:id="251"/>
    <w:p>
      <w:pPr>
        <w:jc w:val="center"/>
        <w:ind w:right="597"/>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148" w:lineRule="exact"/>
        <w:rPr>
          <w:sz w:val="20"/>
          <w:szCs w:val="20"/>
          <w:color w:val="auto"/>
        </w:rPr>
      </w:pPr>
    </w:p>
    <w:p>
      <w:pPr>
        <w:jc w:val="center"/>
        <w:ind w:right="597"/>
        <w:spacing w:after="0"/>
        <w:rPr>
          <w:sz w:val="20"/>
          <w:szCs w:val="20"/>
          <w:color w:val="auto"/>
        </w:rPr>
      </w:pPr>
      <w:r>
        <w:rPr>
          <w:rFonts w:ascii="Times New Roman" w:cs="Times New Roman" w:eastAsia="Times New Roman" w:hAnsi="Times New Roman"/>
          <w:sz w:val="20"/>
          <w:szCs w:val="20"/>
          <w:b w:val="1"/>
          <w:bCs w:val="1"/>
          <w:color w:val="auto"/>
        </w:rPr>
        <w:t>BONUS PLAN</w:t>
      </w:r>
    </w:p>
    <w:p>
      <w:pPr>
        <w:spacing w:after="0" w:line="200" w:lineRule="exact"/>
        <w:rPr>
          <w:sz w:val="20"/>
          <w:szCs w:val="20"/>
          <w:color w:val="auto"/>
        </w:rPr>
      </w:pPr>
    </w:p>
    <w:p>
      <w:pPr>
        <w:spacing w:after="0" w:line="317" w:lineRule="exact"/>
        <w:rPr>
          <w:sz w:val="20"/>
          <w:szCs w:val="20"/>
          <w:color w:val="auto"/>
        </w:rPr>
      </w:pPr>
    </w:p>
    <w:p>
      <w:pPr>
        <w:ind w:left="383"/>
        <w:spacing w:after="0" w:line="250" w:lineRule="auto"/>
        <w:rPr>
          <w:sz w:val="20"/>
          <w:szCs w:val="20"/>
          <w:color w:val="auto"/>
        </w:rPr>
      </w:pPr>
      <w:r>
        <w:rPr>
          <w:rFonts w:ascii="Times New Roman" w:cs="Times New Roman" w:eastAsia="Times New Roman" w:hAnsi="Times New Roman"/>
          <w:sz w:val="20"/>
          <w:szCs w:val="20"/>
          <w:color w:val="auto"/>
        </w:rPr>
        <w:t>employment with the Company. The employment relationship of each participant is “at will” and may be terminated at any time by the Company or by the participant with or without cause, and with or without notice.</w:t>
      </w:r>
    </w:p>
    <w:p>
      <w:pPr>
        <w:spacing w:after="0" w:line="2" w:lineRule="exact"/>
        <w:rPr>
          <w:sz w:val="20"/>
          <w:szCs w:val="20"/>
          <w:color w:val="auto"/>
        </w:rPr>
      </w:pPr>
    </w:p>
    <w:p>
      <w:pPr>
        <w:ind w:left="383" w:hanging="383"/>
        <w:spacing w:after="0"/>
        <w:tabs>
          <w:tab w:leader="none" w:pos="383"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plan is not intended to be subject to Section 409A of the Internal Revenue Code of 1986, as amended.</w:t>
      </w:r>
    </w:p>
    <w:p>
      <w:pPr>
        <w:spacing w:after="0" w:line="198" w:lineRule="exact"/>
        <w:rPr>
          <w:rFonts w:ascii="Times New Roman" w:cs="Times New Roman" w:eastAsia="Times New Roman" w:hAnsi="Times New Roman"/>
          <w:sz w:val="20"/>
          <w:szCs w:val="20"/>
          <w:color w:val="auto"/>
        </w:rPr>
      </w:pPr>
    </w:p>
    <w:p>
      <w:pPr>
        <w:ind w:left="390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Page 7 of NUMPAGES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3"/>
          </w:cols>
          <w:pgMar w:left="1077" w:top="761" w:right="699" w:bottom="1440" w:gutter="0" w:footer="0" w:header="0"/>
        </w:sectPr>
      </w:pPr>
    </w:p>
    <w:bookmarkStart w:id="252" w:name="page253"/>
    <w:bookmarkEnd w:id="252"/>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1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BONUS PLAN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Performance Criteria that will be used to establish goals under the Plan may be based on any one of, or combination of, the following as determined by the Committee: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 (7) stock price; (8) margin (including gross margin); (9) income (before or after taxes); (10) operating income; (11) operating income after taxes; (12) pre-tax profit; (13) operating cash flow; (14) sales or revenue targets; (15) increases in revenue or product revenue; (16) expenses and cost reduction goals; (17) improvement in or attainment of working capital levels; (18) economic value added (or an equivalent metric); (19) market share; (20) cash flow; (21) cash flow per share; (22) share price performance; (23) debt reduction; (24) customer satisfaction; (25) stockholders’ equity; (26) capital expenditures; (27) debt levels; (28) operating profit or net operating profit; (29) workforce diversity; (30) growth of net income or operating income; (31) billings;</w:t>
      </w:r>
    </w:p>
    <w:p>
      <w:pPr>
        <w:jc w:val="both"/>
        <w:ind w:firstLine="8"/>
        <w:spacing w:after="0" w:line="252" w:lineRule="auto"/>
        <w:tabs>
          <w:tab w:leader="none" w:pos="395"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pre-clinical development related compound goals; (33) financing; (34) regulatory milestones, including approval of a compound; (35) stockholder liquidity; (36) corporate governance and compliance; (37) product commercialization; (38) intellectual property; (39) personnel matters; (40) progress of internal research or clinical programs; (41) progress of partnered programs; (42) partner satisfaction; (43) 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w:t>
      </w:r>
    </w:p>
    <w:p>
      <w:pPr>
        <w:jc w:val="both"/>
        <w:ind w:firstLine="8"/>
        <w:spacing w:after="0" w:line="239" w:lineRule="auto"/>
        <w:tabs>
          <w:tab w:leader="none" w:pos="452"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relations, analysts and communication; (53) manufacturing achievements (including obtaining particular yields from manufacturing runs and other measurable objectives related to process development 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401"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(58) individual performance goals; (59) corporate development and planning goals; and (60) other measures of performance selected by the Committee (as applicable).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NUMPAGES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1037590</wp:posOffset>
            </wp:positionV>
            <wp:extent cx="1071245" cy="5314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2">
                      <a:extLst>
                        <a:ext uri="{28A0092B-C50C-407E-A947-70E740481C1C}"/>
                      </a:extLst>
                    </a:blip>
                    <a:srcRect/>
                    <a:stretch>
                      <a:fillRect/>
                    </a:stretch>
                  </pic:blipFill>
                  <pic:spPr bwMode="auto">
                    <a:xfrm>
                      <a:off x="0" y="0"/>
                      <a:ext cx="10712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DocuSign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Kyntra Bio, Inc. is pleased to offer you the position of ____________ in our _______________department, reporting to _____________.</w:t>
      </w:r>
    </w:p>
    <w:p>
      <w:pPr>
        <w:spacing w:after="0" w:line="1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effective date ("</w:t>
      </w:r>
      <w:r>
        <w:rPr>
          <w:rFonts w:ascii="Arial" w:cs="Arial" w:eastAsia="Arial" w:hAnsi="Arial"/>
          <w:sz w:val="18"/>
          <w:szCs w:val="18"/>
          <w:b w:val="1"/>
          <w:bCs w:val="1"/>
          <w:color w:val="auto"/>
        </w:rPr>
        <w:t>Effective Date</w:t>
      </w:r>
      <w:r>
        <w:rPr>
          <w:rFonts w:ascii="Arial" w:cs="Arial" w:eastAsia="Arial" w:hAnsi="Arial"/>
          <w:sz w:val="18"/>
          <w:szCs w:val="18"/>
          <w:color w:val="auto"/>
        </w:rPr>
        <w:t>") of your employment will be set, as mutually agreed upon in advance with Kyntra Bio, Inc. (“</w:t>
      </w:r>
      <w:r>
        <w:rPr>
          <w:rFonts w:ascii="Arial" w:cs="Arial" w:eastAsia="Arial" w:hAnsi="Arial"/>
          <w:sz w:val="18"/>
          <w:szCs w:val="18"/>
          <w:b w:val="1"/>
          <w:bCs w:val="1"/>
          <w:color w:val="auto"/>
        </w:rPr>
        <w:t>Kyntra</w:t>
      </w:r>
      <w:r>
        <w:rPr>
          <w:rFonts w:ascii="Arial" w:cs="Arial" w:eastAsia="Arial" w:hAnsi="Arial"/>
          <w:sz w:val="18"/>
          <w:szCs w:val="18"/>
          <w:color w:val="auto"/>
        </w:rPr>
        <w:t xml:space="preserve"> </w:t>
      </w:r>
      <w:r>
        <w:rPr>
          <w:rFonts w:ascii="Arial" w:cs="Arial" w:eastAsia="Arial" w:hAnsi="Arial"/>
          <w:sz w:val="18"/>
          <w:szCs w:val="18"/>
          <w:b w:val="1"/>
          <w:bCs w:val="1"/>
          <w:color w:val="auto"/>
        </w:rPr>
        <w:t>Bio</w:t>
      </w:r>
      <w:r>
        <w:rPr>
          <w:rFonts w:ascii="Arial" w:cs="Arial" w:eastAsia="Arial" w:hAnsi="Arial"/>
          <w:sz w:val="18"/>
          <w:szCs w:val="18"/>
          <w:color w:val="auto"/>
        </w:rPr>
        <w:t>”) and confirmed with Human Resources.</w:t>
      </w:r>
    </w:p>
    <w:p>
      <w:pPr>
        <w:spacing w:after="0" w:line="14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offer of employment is made contingent upon successful completion of Kyntra Bio background check or upon completion of all required documentation that will be made available to you on the Effective Date or by your intended start date. This includes verification of the information provided online and your employment application. If necessary, you will be contacted to resolve any discrepancies in the verification of information. Your employment hire date will be determined after the completion of the background check process and your signed acceptance of this offer.</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terms of this offer of employment are as follows:</w:t>
      </w:r>
    </w:p>
    <w:p>
      <w:pPr>
        <w:spacing w:after="0" w:line="198" w:lineRule="exact"/>
        <w:rPr>
          <w:sz w:val="20"/>
          <w:szCs w:val="20"/>
          <w:color w:val="auto"/>
        </w:rPr>
      </w:pPr>
    </w:p>
    <w:p>
      <w:pPr>
        <w:jc w:val="both"/>
        <w:ind w:left="380" w:hanging="372"/>
        <w:spacing w:after="0" w:line="238" w:lineRule="auto"/>
        <w:tabs>
          <w:tab w:leader="none" w:pos="380" w:val="left"/>
        </w:tabs>
        <w:numPr>
          <w:ilvl w:val="0"/>
          <w:numId w:val="332"/>
        </w:numPr>
        <w:rPr>
          <w:rFonts w:ascii="Arial" w:cs="Arial" w:eastAsia="Arial" w:hAnsi="Arial"/>
          <w:sz w:val="18"/>
          <w:szCs w:val="18"/>
          <w:color w:val="282828"/>
        </w:rPr>
      </w:pPr>
      <w:r>
        <w:rPr>
          <w:rFonts w:ascii="Arial" w:cs="Arial" w:eastAsia="Arial" w:hAnsi="Arial"/>
          <w:sz w:val="18"/>
          <w:szCs w:val="18"/>
          <w:u w:val="single" w:color="auto"/>
          <w:color w:val="auto"/>
        </w:rPr>
        <w:t>Compensation</w:t>
      </w:r>
      <w:r>
        <w:rPr>
          <w:rFonts w:ascii="Arial" w:cs="Arial" w:eastAsia="Arial" w:hAnsi="Arial"/>
          <w:sz w:val="18"/>
          <w:szCs w:val="18"/>
          <w:color w:val="auto"/>
        </w:rPr>
        <w:t>. Kyntra Bio will pay you a starting annual salary of $_________, payable in semi-monthly installments on our regular paydays in accordance with Kyntra Bio’s standard payroll policies. Your salary will begin as of the Effective Date. The position is classified as exempt and therefore not eligible for overtime pay. The first and last payment by Kyntra Bio to you will be adjusted, if necessary, to reflect a commencement or termination date other than the first or last working day of a pay period. During your employment at Kyntra Bio you may not be employed by, or consult with, any other company without the express written authorization of your manager</w:t>
      </w:r>
    </w:p>
    <w:p>
      <w:pPr>
        <w:spacing w:after="0" w:line="1" w:lineRule="exact"/>
        <w:rPr>
          <w:rFonts w:ascii="Arial" w:cs="Arial" w:eastAsia="Arial" w:hAnsi="Arial"/>
          <w:sz w:val="18"/>
          <w:szCs w:val="18"/>
          <w:color w:val="282828"/>
        </w:rPr>
      </w:pPr>
    </w:p>
    <w:p>
      <w:pPr>
        <w:ind w:left="380" w:hanging="372"/>
        <w:spacing w:after="0" w:line="250" w:lineRule="auto"/>
        <w:tabs>
          <w:tab w:leader="none" w:pos="380" w:val="left"/>
        </w:tabs>
        <w:numPr>
          <w:ilvl w:val="0"/>
          <w:numId w:val="332"/>
        </w:numPr>
        <w:rPr>
          <w:rFonts w:ascii="Arial" w:cs="Arial" w:eastAsia="Arial" w:hAnsi="Arial"/>
          <w:sz w:val="18"/>
          <w:szCs w:val="18"/>
          <w:color w:val="282828"/>
        </w:rPr>
      </w:pPr>
      <w:r>
        <w:rPr>
          <w:rFonts w:ascii="Arial" w:cs="Arial" w:eastAsia="Arial" w:hAnsi="Arial"/>
          <w:sz w:val="18"/>
          <w:szCs w:val="18"/>
          <w:u w:val="single" w:color="auto"/>
          <w:color w:val="auto"/>
        </w:rPr>
        <w:t>Sign-on Bonus.</w:t>
      </w:r>
      <w:r>
        <w:rPr>
          <w:rFonts w:ascii="Arial" w:cs="Arial" w:eastAsia="Arial" w:hAnsi="Arial"/>
          <w:sz w:val="18"/>
          <w:szCs w:val="18"/>
          <w:color w:val="auto"/>
        </w:rPr>
        <w:t xml:space="preserve"> Kyntra Bio will pay you a sign-on bonus in the amount of __________ (subject to applicable payroll taxes and withholdings) to be payable on the first payroll date following the Effective Date of your employment.</w:t>
      </w:r>
    </w:p>
    <w:p>
      <w:pPr>
        <w:spacing w:after="0" w:line="158" w:lineRule="exact"/>
        <w:rPr>
          <w:rFonts w:ascii="Arial" w:cs="Arial" w:eastAsia="Arial" w:hAnsi="Arial"/>
          <w:sz w:val="18"/>
          <w:szCs w:val="18"/>
          <w:color w:val="282828"/>
        </w:rPr>
      </w:pPr>
    </w:p>
    <w:p>
      <w:pPr>
        <w:jc w:val="both"/>
        <w:ind w:left="380" w:hanging="372"/>
        <w:spacing w:after="0" w:line="244" w:lineRule="auto"/>
        <w:tabs>
          <w:tab w:leader="none" w:pos="380" w:val="left"/>
        </w:tabs>
        <w:numPr>
          <w:ilvl w:val="0"/>
          <w:numId w:val="332"/>
        </w:numPr>
        <w:rPr>
          <w:rFonts w:ascii="Arial" w:cs="Arial" w:eastAsia="Arial" w:hAnsi="Arial"/>
          <w:sz w:val="18"/>
          <w:szCs w:val="18"/>
          <w:color w:val="282828"/>
        </w:rPr>
      </w:pPr>
      <w:r>
        <w:rPr>
          <w:rFonts w:ascii="Arial" w:cs="Arial" w:eastAsia="Arial" w:hAnsi="Arial"/>
          <w:sz w:val="18"/>
          <w:szCs w:val="18"/>
          <w:u w:val="single" w:color="auto"/>
          <w:color w:val="auto"/>
        </w:rPr>
        <w:t>[Stock Options and Restricted Stock Units]</w:t>
      </w:r>
      <w:r>
        <w:rPr>
          <w:rFonts w:ascii="Arial" w:cs="Arial" w:eastAsia="Arial" w:hAnsi="Arial"/>
          <w:sz w:val="18"/>
          <w:szCs w:val="18"/>
          <w:color w:val="auto"/>
        </w:rPr>
        <w:t>. Pending approval by the Kyntra Bio Compensation Committee of the Board of Directors or approved designee, you will be granted equity incentive grant(s) in the amount of [X] pursuant to the terms and conditions of the then-current Equity Plan (the “Equity Plan”), as may be amended or modified from time to time. The actual number of shares subject to the grant hereunder may be adjusted, if required, for events such as stock splits, stock dividends, etc. pursuant to the Equity Plan. Any equity incentives granted will vest according to the schedule set forth in the Equity Plan.</w:t>
      </w:r>
    </w:p>
    <w:p>
      <w:pPr>
        <w:spacing w:after="0" w:line="176" w:lineRule="exact"/>
        <w:rPr>
          <w:rFonts w:ascii="Arial" w:cs="Arial" w:eastAsia="Arial" w:hAnsi="Arial"/>
          <w:sz w:val="18"/>
          <w:szCs w:val="18"/>
          <w:color w:val="282828"/>
        </w:rPr>
      </w:pPr>
    </w:p>
    <w:p>
      <w:pPr>
        <w:ind w:left="380" w:hanging="372"/>
        <w:spacing w:after="0"/>
        <w:tabs>
          <w:tab w:leader="none" w:pos="380" w:val="left"/>
        </w:tabs>
        <w:numPr>
          <w:ilvl w:val="0"/>
          <w:numId w:val="332"/>
        </w:numPr>
        <w:rPr>
          <w:rFonts w:ascii="Arial" w:cs="Arial" w:eastAsia="Arial" w:hAnsi="Arial"/>
          <w:sz w:val="18"/>
          <w:szCs w:val="18"/>
          <w:color w:val="282828"/>
        </w:rPr>
      </w:pPr>
      <w:r>
        <w:rPr>
          <w:rFonts w:ascii="Arial" w:cs="Arial" w:eastAsia="Arial" w:hAnsi="Arial"/>
          <w:sz w:val="18"/>
          <w:szCs w:val="18"/>
          <w:u w:val="single" w:color="auto"/>
          <w:color w:val="auto"/>
        </w:rPr>
        <w:t>Bonus Plan</w:t>
      </w:r>
      <w:r>
        <w:rPr>
          <w:rFonts w:ascii="Arial" w:cs="Arial" w:eastAsia="Arial" w:hAnsi="Arial"/>
          <w:sz w:val="18"/>
          <w:szCs w:val="18"/>
          <w:color w:val="auto"/>
        </w:rPr>
        <w:t>. You will be eligible to participate in Kyntra Bio’s Incentive Compensation Plan (the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380" w:right="20"/>
        <w:spacing w:after="0" w:line="271" w:lineRule="auto"/>
        <w:rPr>
          <w:sz w:val="20"/>
          <w:szCs w:val="20"/>
          <w:color w:val="auto"/>
        </w:rPr>
      </w:pPr>
      <w:r>
        <w:rPr>
          <w:rFonts w:ascii="Arial" w:cs="Arial" w:eastAsia="Arial" w:hAnsi="Arial"/>
          <w:sz w:val="18"/>
          <w:szCs w:val="18"/>
          <w:color w:val="auto"/>
        </w:rPr>
        <w:t>Plan”), adopted by Kyntra Bio for its employees on such terms as Kyntra Bio’s Board of Directors (the "Board") may determine in its discretion.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target bonus for your level is expected to be _______%. Under the terms of the Plan, both corporate and individual performance is</w:t>
      </w:r>
    </w:p>
    <w:p>
      <w:pPr>
        <w:spacing w:after="0" w:line="14" w:lineRule="exact"/>
        <w:rPr>
          <w:sz w:val="20"/>
          <w:szCs w:val="20"/>
          <w:color w:val="auto"/>
        </w:rPr>
      </w:pPr>
    </w:p>
    <w:p>
      <w:pPr>
        <w:jc w:val="both"/>
        <w:ind w:left="380"/>
        <w:spacing w:after="0"/>
        <w:rPr>
          <w:sz w:val="20"/>
          <w:szCs w:val="20"/>
          <w:color w:val="auto"/>
        </w:rPr>
      </w:pPr>
      <w:r>
        <w:rPr>
          <w:rFonts w:ascii="Arial" w:cs="Arial" w:eastAsia="Arial" w:hAnsi="Arial"/>
          <w:sz w:val="18"/>
          <w:szCs w:val="18"/>
          <w:color w:val="auto"/>
        </w:rPr>
        <w:t>assessed annually and subject to final approval by the Company’s Board of Directors. Employees hired during the course of a year will have a pro-rated bonus provided they commence their employment on or before September 30th of a calendar year. To remain eligible, employees must maintain satisfactory performance and be in an active status on the day of payment. Payments are expected to occur no later than the 15th of March in the year following the performance cycle.</w:t>
      </w:r>
    </w:p>
    <w:p>
      <w:pPr>
        <w:spacing w:after="0" w:line="167" w:lineRule="exact"/>
        <w:rPr>
          <w:sz w:val="20"/>
          <w:szCs w:val="20"/>
          <w:color w:val="auto"/>
        </w:rPr>
      </w:pPr>
    </w:p>
    <w:p>
      <w:pPr>
        <w:jc w:val="both"/>
        <w:ind w:left="380" w:hanging="372"/>
        <w:spacing w:after="0" w:line="247" w:lineRule="auto"/>
        <w:tabs>
          <w:tab w:leader="none" w:pos="380" w:val="left"/>
        </w:tabs>
        <w:numPr>
          <w:ilvl w:val="0"/>
          <w:numId w:val="333"/>
        </w:numPr>
        <w:rPr>
          <w:rFonts w:ascii="Arial" w:cs="Arial" w:eastAsia="Arial" w:hAnsi="Arial"/>
          <w:sz w:val="18"/>
          <w:szCs w:val="18"/>
          <w:color w:val="282828"/>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During the term of your employment, you will be eligible to participate in Kyntra Bio’s benefits program, which may include Kyntra Bio's standard vacation benefits and other employee benefits such as medical, vision and dental health insurance, covering employees and officers. These benefits may be modified or subject to change from time to time. A copy of Kyntra Bio's current benefits summary has been provided to you.</w:t>
      </w:r>
    </w:p>
    <w:p>
      <w:pPr>
        <w:spacing w:after="0" w:line="173" w:lineRule="exact"/>
        <w:rPr>
          <w:rFonts w:ascii="Arial" w:cs="Arial" w:eastAsia="Arial" w:hAnsi="Arial"/>
          <w:sz w:val="18"/>
          <w:szCs w:val="18"/>
          <w:color w:val="282828"/>
        </w:rPr>
      </w:pPr>
    </w:p>
    <w:p>
      <w:pPr>
        <w:jc w:val="both"/>
        <w:ind w:left="380" w:hanging="372"/>
        <w:spacing w:after="0" w:line="244" w:lineRule="auto"/>
        <w:tabs>
          <w:tab w:leader="none" w:pos="380" w:val="left"/>
        </w:tabs>
        <w:numPr>
          <w:ilvl w:val="0"/>
          <w:numId w:val="333"/>
        </w:numPr>
        <w:rPr>
          <w:rFonts w:ascii="Arial" w:cs="Arial" w:eastAsia="Arial" w:hAnsi="Arial"/>
          <w:sz w:val="18"/>
          <w:szCs w:val="18"/>
          <w:color w:val="282828"/>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xml:space="preserve"> You will also be required to sign the Employment Eligibility Verification (Form I-9). (You will need to complete and return Section One of Form I-9 along with your signed offer letter). On your first day of employment, please bring the necessary original documents that establish your identity and employment eligibility to work in the United States. Acceptable documents are listed on the reverse side of Form I-9. Such documentation must be provided to us within three (3) business days of your date of hire, or our employment relationship with you may be terminated.</w:t>
      </w:r>
    </w:p>
    <w:p>
      <w:pPr>
        <w:spacing w:after="0" w:line="176" w:lineRule="exact"/>
        <w:rPr>
          <w:rFonts w:ascii="Arial" w:cs="Arial" w:eastAsia="Arial" w:hAnsi="Arial"/>
          <w:sz w:val="18"/>
          <w:szCs w:val="18"/>
          <w:color w:val="282828"/>
        </w:rPr>
      </w:pPr>
    </w:p>
    <w:p>
      <w:pPr>
        <w:jc w:val="both"/>
        <w:ind w:left="380" w:hanging="372"/>
        <w:spacing w:after="0" w:line="247" w:lineRule="auto"/>
        <w:tabs>
          <w:tab w:leader="none" w:pos="380" w:val="left"/>
        </w:tabs>
        <w:numPr>
          <w:ilvl w:val="0"/>
          <w:numId w:val="333"/>
        </w:numPr>
        <w:rPr>
          <w:rFonts w:ascii="Arial" w:cs="Arial" w:eastAsia="Arial" w:hAnsi="Arial"/>
          <w:sz w:val="18"/>
          <w:szCs w:val="18"/>
          <w:color w:val="282828"/>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xml:space="preserve"> You will abide by Kyntra Bio’s strict company policy that prohibits any new employee from using or bringing with them from any prior employer any proprietary information, trade secrets, proprietary materials or processes of such former employers. Moreover, because Kyntra Bio’s proprietary information is extremely important, this offer of employment is expressly subject to your execution of the enclosed Confidentiality and Inventions Agreement for Employees.</w:t>
      </w:r>
    </w:p>
    <w:p>
      <w:pPr>
        <w:spacing w:after="0" w:line="173" w:lineRule="exact"/>
        <w:rPr>
          <w:rFonts w:ascii="Arial" w:cs="Arial" w:eastAsia="Arial" w:hAnsi="Arial"/>
          <w:sz w:val="18"/>
          <w:szCs w:val="18"/>
          <w:color w:val="282828"/>
        </w:rPr>
      </w:pPr>
    </w:p>
    <w:p>
      <w:pPr>
        <w:jc w:val="both"/>
        <w:ind w:left="380" w:hanging="372"/>
        <w:spacing w:after="0" w:line="242" w:lineRule="auto"/>
        <w:tabs>
          <w:tab w:leader="none" w:pos="380" w:val="left"/>
        </w:tabs>
        <w:numPr>
          <w:ilvl w:val="0"/>
          <w:numId w:val="333"/>
        </w:numPr>
        <w:rPr>
          <w:rFonts w:ascii="Arial" w:cs="Arial" w:eastAsia="Arial" w:hAnsi="Arial"/>
          <w:sz w:val="18"/>
          <w:szCs w:val="18"/>
          <w:color w:val="282828"/>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 xml:space="preserve"> You should be aware that your employment with Kyntra Bio is for no specified period and constitutes "at-will" employment. As a result, both Kyntra Bio and you are free to terminate the employment relationship at any time, for any reason or for no reason, and with or without advance notice. The changing needs of Kyntra Bio could also result in changes to certain aspects of your employment, such as compensation, responsibilities, location, etc. These provisions expressly supersede any previous or contemporaneous representations, oral or written. Your at-will employment cannot be modified or amended except by written agreement signed by both you and the Chief Executive Officer of Kyntra Bio.</w:t>
      </w:r>
    </w:p>
    <w:p>
      <w:pPr>
        <w:spacing w:after="0" w:line="178" w:lineRule="exact"/>
        <w:rPr>
          <w:rFonts w:ascii="Arial" w:cs="Arial" w:eastAsia="Arial" w:hAnsi="Arial"/>
          <w:sz w:val="18"/>
          <w:szCs w:val="18"/>
          <w:color w:val="282828"/>
        </w:rPr>
      </w:pPr>
    </w:p>
    <w:p>
      <w:pPr>
        <w:jc w:val="both"/>
        <w:ind w:left="380" w:hanging="372"/>
        <w:spacing w:after="0" w:line="253" w:lineRule="auto"/>
        <w:tabs>
          <w:tab w:leader="none" w:pos="380" w:val="left"/>
        </w:tabs>
        <w:numPr>
          <w:ilvl w:val="0"/>
          <w:numId w:val="333"/>
        </w:numPr>
        <w:rPr>
          <w:rFonts w:ascii="Arial" w:cs="Arial" w:eastAsia="Arial" w:hAnsi="Arial"/>
          <w:sz w:val="18"/>
          <w:szCs w:val="18"/>
          <w:color w:val="282828"/>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Kyntra Bio offers its employees an arbitration agreement to consider as an alternative forum to settle a dispute. This agreement is voluntary. Please read the agreement carefully, sign it, and return it to the Human Resources department if it is of interest to you.</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Unless otherwise notified by Kyntra Bio, this offer of employment is effective for five (5) business days from the date of this letter. However, if you have any questions regarding the above provisions including the arbitration provision, please do not hesitate to contact us.</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event of conflict between the terms contained in this offer letter and any other document, the terms of this offer letter (including any amendment to this letter) shall control. Kyntra Bio reserves the right to amend the terms contained in this offer letter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your joining our team at Kyntra Bio.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_______Day of _________, 20__</w:t>
      </w: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7774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Intended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1668145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7774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INDEMNITY AGREEMENT</w:t>
      </w:r>
    </w:p>
    <w:p>
      <w:pPr>
        <w:spacing w:after="0" w:line="200" w:lineRule="exact"/>
        <w:rPr>
          <w:sz w:val="20"/>
          <w:szCs w:val="20"/>
          <w:color w:val="auto"/>
        </w:rPr>
      </w:pP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ndemnity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___________ _____, 20__, is made by and between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4"/>
          <w:szCs w:val="14"/>
          <w:b w:val="1"/>
          <w:bCs w:val="1"/>
          <w:color w:val="auto"/>
        </w:rPr>
        <w:t>yntra</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_________________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ind w:right="60" w:firstLine="757"/>
        <w:spacing w:after="0" w:line="258" w:lineRule="auto"/>
        <w:tabs>
          <w:tab w:leader="none" w:pos="1181"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desires to attract and retain the services of highly qualified individuals as directors, officers, employees and agents.</w:t>
      </w:r>
    </w:p>
    <w:p>
      <w:pPr>
        <w:spacing w:after="0" w:line="154"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181"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Amended and Restated Bylaws of the Company (the “ </w:t>
      </w:r>
      <w:r>
        <w:rPr>
          <w:rFonts w:ascii="Times New Roman" w:cs="Times New Roman" w:eastAsia="Times New Roman" w:hAnsi="Times New Roman"/>
          <w:sz w:val="22"/>
          <w:szCs w:val="22"/>
          <w:b w:val="1"/>
          <w:bCs w:val="1"/>
          <w:color w:val="auto"/>
        </w:rPr>
        <w:t>Bylaws</w:t>
      </w:r>
      <w:r>
        <w:rPr>
          <w:rFonts w:ascii="Times New Roman" w:cs="Times New Roman" w:eastAsia="Times New Roman" w:hAnsi="Times New Roman"/>
          <w:sz w:val="22"/>
          <w:szCs w:val="22"/>
          <w:color w:val="auto"/>
        </w:rPr>
        <w:t>”) require that the Company indemnify its directors and officers, and empowers the Company to indemnify its employees and agents, as authorized by the General Corporation Law of the State of Delaware,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80"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181"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8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181"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73"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181"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Indemnitee is willing to serve, or to continue to serve, as a director, officer, employee or agent of the Company, as the case may be, if Indemnitee is furnished the indemnity provided for herein by the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covenants and agreements set forth herein, the parties hereto, intending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legally bound, hereby agree as follows:</w:t>
      </w:r>
    </w:p>
    <w:p>
      <w:pPr>
        <w:spacing w:after="0" w:line="150" w:lineRule="exact"/>
        <w:rPr>
          <w:sz w:val="20"/>
          <w:szCs w:val="20"/>
          <w:color w:val="auto"/>
        </w:rPr>
      </w:pPr>
    </w:p>
    <w:p>
      <w:pPr>
        <w:ind w:left="1020" w:hanging="263"/>
        <w:spacing w:after="0"/>
        <w:tabs>
          <w:tab w:leader="none" w:pos="1020" w:val="left"/>
        </w:tabs>
        <w:numPr>
          <w:ilvl w:val="0"/>
          <w:numId w:val="3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right="20" w:firstLine="1505"/>
        <w:spacing w:after="0" w:line="263" w:lineRule="auto"/>
        <w:tabs>
          <w:tab w:leader="none" w:pos="2036" w:val="left"/>
        </w:tabs>
        <w:numPr>
          <w:ilvl w:val="1"/>
          <w:numId w:val="3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For purposes of this Agreement, the term “Agent” of the Company means any person who: (i)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was a director, officer, employee, agent or other fiduciary of the Company or a subsidiary of the Company; or (ii) is or was serving at the request or for the convenience of, or representing the interests of, the Company or a subsidiary of the Company, as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110126278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7" w:name="page258"/>
    <w:bookmarkEnd w:id="257"/>
    <w:p>
      <w:pPr>
        <w:spacing w:after="0" w:line="258" w:lineRule="auto"/>
        <w:rPr>
          <w:sz w:val="20"/>
          <w:szCs w:val="20"/>
          <w:color w:val="auto"/>
        </w:rPr>
      </w:pPr>
      <w:r>
        <w:rPr>
          <w:rFonts w:ascii="Times New Roman" w:cs="Times New Roman" w:eastAsia="Times New Roman" w:hAnsi="Times New Roman"/>
          <w:sz w:val="22"/>
          <w:szCs w:val="22"/>
          <w:color w:val="auto"/>
        </w:rPr>
        <w:t>a director, officer, employee, agent or other fiduciary of a foreign or domestic corporation, partnership, joint venture, trust or other enterprise, including as a deemed fiduciary thereto.</w:t>
      </w:r>
    </w:p>
    <w:p>
      <w:pPr>
        <w:spacing w:after="0" w:line="154" w:lineRule="exact"/>
        <w:rPr>
          <w:sz w:val="20"/>
          <w:szCs w:val="20"/>
          <w:color w:val="auto"/>
        </w:rPr>
      </w:pPr>
    </w:p>
    <w:p>
      <w:pPr>
        <w:ind w:left="2040" w:hanging="535"/>
        <w:spacing w:after="0"/>
        <w:tabs>
          <w:tab w:leader="none" w:pos="2040" w:val="left"/>
        </w:tabs>
        <w:numPr>
          <w:ilvl w:val="0"/>
          <w:numId w:val="3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For purposes of this Agreement, the term “Change in Control” shall be deemed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have occurred if:</w:t>
      </w:r>
    </w:p>
    <w:p>
      <w:pPr>
        <w:spacing w:after="0" w:line="182" w:lineRule="exact"/>
        <w:rPr>
          <w:sz w:val="20"/>
          <w:szCs w:val="20"/>
          <w:color w:val="auto"/>
        </w:rPr>
      </w:pPr>
    </w:p>
    <w:p>
      <w:pPr>
        <w:jc w:val="both"/>
        <w:ind w:firstLine="2254"/>
        <w:spacing w:after="0" w:line="236" w:lineRule="auto"/>
        <w:tabs>
          <w:tab w:leader="none" w:pos="2546" w:val="left"/>
        </w:tabs>
        <w:numPr>
          <w:ilvl w:val="0"/>
          <w:numId w:val="3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as that term is used in Section 13(d) and Section 14(d)(2) of the Securities Exchange Act of 1934, as amended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becomes, is discovered to be, or files a report on Schedule 13D or 14D-1 (or any successor schedule, form or report) disclosing that such person is a beneficial owner (as defined in Rule 13d-3 under the Exchange Act or any successor rule or regulation), directly or indirectly, of securities of the Company representing 20% or more of the total voting power of the Company's then outstanding voting securities (unless such person becomes such a beneficial owner in connection with the initial public offering of the Company);</w:t>
      </w:r>
    </w:p>
    <w:p>
      <w:pPr>
        <w:spacing w:after="0" w:line="181" w:lineRule="exact"/>
        <w:rPr>
          <w:rFonts w:ascii="Times New Roman" w:cs="Times New Roman" w:eastAsia="Times New Roman" w:hAnsi="Times New Roman"/>
          <w:sz w:val="22"/>
          <w:szCs w:val="22"/>
          <w:b w:val="1"/>
          <w:bCs w:val="1"/>
          <w:color w:val="auto"/>
        </w:rPr>
      </w:pPr>
    </w:p>
    <w:p>
      <w:pPr>
        <w:jc w:val="both"/>
        <w:ind w:firstLine="2254"/>
        <w:spacing w:after="0" w:line="238" w:lineRule="auto"/>
        <w:tabs>
          <w:tab w:leader="none" w:pos="2546" w:val="left"/>
        </w:tabs>
        <w:numPr>
          <w:ilvl w:val="0"/>
          <w:numId w:val="3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w:t>
      </w:r>
    </w:p>
    <w:p>
      <w:pPr>
        <w:spacing w:after="0" w:line="173"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Company is merged, consolidated or reorganized into or with another corporation or other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 “</w:t>
      </w:r>
      <w:r>
        <w:rPr>
          <w:rFonts w:ascii="Times New Roman" w:cs="Times New Roman" w:eastAsia="Times New Roman" w:hAnsi="Times New Roman"/>
          <w:sz w:val="22"/>
          <w:szCs w:val="22"/>
          <w:b w:val="1"/>
          <w:bCs w:val="1"/>
          <w:color w:val="auto"/>
        </w:rPr>
        <w:t>Acquiring Person</w:t>
      </w:r>
      <w:r>
        <w:rPr>
          <w:rFonts w:ascii="Times New Roman" w:cs="Times New Roman" w:eastAsia="Times New Roman" w:hAnsi="Times New Roman"/>
          <w:sz w:val="22"/>
          <w:szCs w:val="22"/>
          <w:color w:val="auto"/>
        </w:rPr>
        <w:t>”) or securities of the Company are exchanged for securities of an Acquiring Person, and immediately after such merger, consolidation, reorganization or exchange less than a majority of the combined voting power of the then outstanding securities of the Acquiring Person immediately after such transaction are held, directly or indirectly, in the aggregate by the holders of voting securities immediately prior to such transaction;</w:t>
      </w:r>
    </w:p>
    <w:p>
      <w:pPr>
        <w:spacing w:after="0" w:line="177"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the Company, in any transaction or series of related transactions, sells or otherwise transfers all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substantially all of its assets to an Acquiring Person, and less than a majority of the combined voting power of the then outstanding securities of the Acquiring Person immediately after such sale or transfer is held, directly or indirectly, in the aggregate by the holders of voting securities immediately prior to such sale or transfer;</w:t>
      </w:r>
    </w:p>
    <w:p>
      <w:pPr>
        <w:spacing w:after="0" w:line="176" w:lineRule="exact"/>
        <w:rPr>
          <w:sz w:val="20"/>
          <w:szCs w:val="20"/>
          <w:color w:val="auto"/>
        </w:rPr>
      </w:pPr>
    </w:p>
    <w:p>
      <w:pPr>
        <w:jc w:val="both"/>
        <w:ind w:firstLine="2254"/>
        <w:spacing w:after="0" w:line="244" w:lineRule="auto"/>
        <w:tabs>
          <w:tab w:leader="none" w:pos="2546" w:val="left"/>
        </w:tabs>
        <w:numPr>
          <w:ilvl w:val="0"/>
          <w:numId w:val="3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files a report or proxy statement with the Securities and Exchange Commission pursuant to the Exchange Act disclosing that a change in control of the Company has or may have occurred or will or may occur in the future pursuant to any then existing contract or transaction; or</w:t>
      </w:r>
    </w:p>
    <w:p>
      <w:pPr>
        <w:spacing w:after="0" w:line="169" w:lineRule="exact"/>
        <w:rPr>
          <w:sz w:val="20"/>
          <w:szCs w:val="20"/>
          <w:color w:val="auto"/>
        </w:rPr>
      </w:pPr>
    </w:p>
    <w:p>
      <w:pPr>
        <w:jc w:val="both"/>
        <w:ind w:right="2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any other transaction or series of related transactions occur that have substantially the effect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specified in any of the preceding clauses in this paragraph (b).</w:t>
      </w:r>
    </w:p>
    <w:p>
      <w:pPr>
        <w:spacing w:after="0" w:line="154"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Notwithstanding the provisions of Section 1(b)(1) or 1(b)(4), unless otherwise determined in a specific case by majority vote of the Board of Directors of the Company, a Change of Control shall not be deemed to have occurred for purposes of this Agreement solely because (i) the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2"/>
          <w:szCs w:val="22"/>
          <w:color w:val="auto"/>
        </w:rPr>
        <w:t>Company, (ii) an entity in which the Company directly or indirectly beneficially owns 50% or more of the voting securities or</w:t>
      </w:r>
    </w:p>
    <w:p>
      <w:pPr>
        <w:spacing w:after="0" w:line="14" w:lineRule="exact"/>
        <w:rPr>
          <w:sz w:val="20"/>
          <w:szCs w:val="20"/>
          <w:color w:val="auto"/>
        </w:rPr>
      </w:pPr>
    </w:p>
    <w:p>
      <w:pPr>
        <w:jc w:val="both"/>
        <w:ind w:firstLine="8"/>
        <w:spacing w:after="0" w:line="233" w:lineRule="auto"/>
        <w:tabs>
          <w:tab w:leader="none" w:pos="383"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sponsored employee stock ownership plan, or any other employee benefit plan of the Company, either files or becomes obligated to file a report or a proxy statement under or in response to Schedule 13D, Schedule 14D-1, Form 8-K or Schedule 14A (or any successor schedule, form or report or item therein) under the Exchange Act, disclosing beneficial ownership by it of shares of stock of the Company, or because the Company reports that a Change in Control of the Company has or may have occurred or will or may occur in the future by reason of such beneficial ownership.</w:t>
      </w:r>
    </w:p>
    <w:p>
      <w:pPr>
        <w:spacing w:after="0" w:line="175"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For purposes of this Agreement, the term “Expenses” shall be broadly construed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without limitation, all direct and indirect costs of any type or nature whatsoever (including, without limitation, all attorneys’, witness, or other professional fees and related disbursements, and other out-of-pocket costs of whatever nature, any federal, state, local or foreign taxes imposed on Indemnitee as a result of the actual or deemed receipt of any payments under this Agreement, ERISA excise taxes, and premium, security for, and other costs relating to any cost bond, supersedeas bond or appeal bond), actually and reasonably incurred by Indemnitee in connection with the investigation, defense or appeal of a proceeding or establishing or enforcing a right to indemnification under this Agreement, the Code or otherwise, but shall not include any judgments, fines or penalties actually levied against Indemnitee for such individual’s violations of law or amounts paid in settlement by or on behalf of Indemnitee. For clarity, Company shall only be responsible for the attorney fees of one (1) independent counsel selected by Indemnitee to represent Indemnitee.</w:t>
      </w:r>
    </w:p>
    <w:p>
      <w:pPr>
        <w:spacing w:after="0" w:line="179"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Proceedings</w:t>
      </w:r>
      <w:r>
        <w:rPr>
          <w:rFonts w:ascii="Times New Roman" w:cs="Times New Roman" w:eastAsia="Times New Roman" w:hAnsi="Times New Roman"/>
          <w:sz w:val="22"/>
          <w:szCs w:val="22"/>
          <w:color w:val="auto"/>
        </w:rPr>
        <w:t>. For purposes of this Agreement, the term “proceeding” shall be broadly construed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without limitation,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(including as a deemed fiduciary thereto),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w:t>
      </w:r>
    </w:p>
    <w:p>
      <w:pPr>
        <w:spacing w:after="0" w:line="17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For purposes of this Agreement, the term “subsidiary” means any corporation,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company or other entity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as an Agent.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9" w:name="page260"/>
    <w:bookmarkEnd w:id="259"/>
    <w:p>
      <w:pPr>
        <w:jc w:val="both"/>
        <w:ind w:firstLine="1505"/>
        <w:spacing w:after="0" w:line="235" w:lineRule="auto"/>
        <w:tabs>
          <w:tab w:leader="none" w:pos="2036" w:val="left"/>
        </w:tabs>
        <w:numPr>
          <w:ilvl w:val="1"/>
          <w:numId w:val="3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Counsel</w:t>
      </w:r>
      <w:r>
        <w:rPr>
          <w:rFonts w:ascii="Times New Roman" w:cs="Times New Roman" w:eastAsia="Times New Roman" w:hAnsi="Times New Roman"/>
          <w:sz w:val="22"/>
          <w:szCs w:val="22"/>
          <w:color w:val="auto"/>
        </w:rPr>
        <w:t>. For purposes of this Agreement, the term “Independent Counsel” means a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firm, or a partner (or, if 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 to Serve</w:t>
      </w:r>
      <w:r>
        <w:rPr>
          <w:rFonts w:ascii="Times New Roman" w:cs="Times New Roman" w:eastAsia="Times New Roman" w:hAnsi="Times New Roman"/>
          <w:sz w:val="22"/>
          <w:szCs w:val="22"/>
          <w:color w:val="auto"/>
        </w:rPr>
        <w:t>. Indemnitee will serve, or continue to serve, as an Agent, as the case may be, faithfully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best of his or her ability, at the will of such entity (or under separate agreement, if such agreement exists), in the capacity Indemnitee currently serves such entity , so long as Indemnitee is duly appointed or elected and qualified in accordance with the applicable provisions of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w:t>
      </w:r>
    </w:p>
    <w:p>
      <w:pPr>
        <w:spacing w:after="0" w:line="169" w:lineRule="exact"/>
        <w:rPr>
          <w:sz w:val="20"/>
          <w:szCs w:val="20"/>
          <w:color w:val="auto"/>
        </w:rPr>
      </w:pPr>
    </w:p>
    <w:p>
      <w:pPr>
        <w:ind w:left="1020" w:hanging="263"/>
        <w:spacing w:after="0"/>
        <w:tabs>
          <w:tab w:leader="none" w:pos="1020" w:val="left"/>
        </w:tabs>
        <w:numPr>
          <w:ilvl w:val="0"/>
          <w:numId w:val="3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5" w:lineRule="auto"/>
        <w:tabs>
          <w:tab w:leader="none" w:pos="2036" w:val="left"/>
        </w:tabs>
        <w:numPr>
          <w:ilvl w:val="1"/>
          <w:numId w:val="3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Indemnification in Third Party Proceedings</w:t>
      </w:r>
      <w:r>
        <w:rPr>
          <w:rFonts w:ascii="Times New Roman" w:cs="Times New Roman" w:eastAsia="Times New Roman" w:hAnsi="Times New Roman"/>
          <w:sz w:val="21"/>
          <w:szCs w:val="21"/>
          <w:color w:val="auto"/>
        </w:rPr>
        <w:t>. Subject to Section 10 below, the Company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indemnify Indemnitee to the fullest extent permitted by the Code, as the same may be amended from time to time (but, to the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other than an proceeding by or in the right of the Company to procure a judgment in its favor, for any and all Expenses, judgments, fines and amounts paid in settlement (including all interest, assessments and other charges paid or payable in connection with or in respect of such Expenses, judgments, fines and amounts paid in settlement), actually and reasonably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0" w:name="page261"/>
    <w:bookmarkEnd w:id="260"/>
    <w:p>
      <w:pPr>
        <w:spacing w:after="0" w:line="200" w:lineRule="exact"/>
        <w:rPr>
          <w:sz w:val="20"/>
          <w:szCs w:val="20"/>
          <w:color w:val="auto"/>
        </w:rPr>
      </w:pPr>
    </w:p>
    <w:p>
      <w:pPr>
        <w:spacing w:after="0" w:line="224" w:lineRule="exact"/>
        <w:rPr>
          <w:sz w:val="20"/>
          <w:szCs w:val="20"/>
          <w:color w:val="auto"/>
        </w:rPr>
      </w:pPr>
    </w:p>
    <w:p>
      <w:pPr>
        <w:jc w:val="both"/>
        <w:ind w:firstLine="1505"/>
        <w:spacing w:after="0" w:line="245" w:lineRule="auto"/>
        <w:tabs>
          <w:tab w:leader="none" w:pos="2036" w:val="left"/>
        </w:tabs>
        <w:numPr>
          <w:ilvl w:val="1"/>
          <w:numId w:val="3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Indemnification in Derivative Actions and Direct Actions by the Company</w:t>
      </w:r>
      <w:r>
        <w:rPr>
          <w:rFonts w:ascii="Times New Roman" w:cs="Times New Roman" w:eastAsia="Times New Roman" w:hAnsi="Times New Roman"/>
          <w:sz w:val="21"/>
          <w:szCs w:val="21"/>
          <w:color w:val="auto"/>
        </w:rPr>
        <w:t>. Subject to Section 10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 the Company shall indemnify Indemnitee to the fullest extent permitted by the Code, as the same may be amended from time to time (but, to the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of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w:t>
      </w:r>
    </w:p>
    <w:p>
      <w:pPr>
        <w:spacing w:after="0" w:line="173" w:lineRule="exact"/>
        <w:rPr>
          <w:rFonts w:ascii="Times New Roman" w:cs="Times New Roman" w:eastAsia="Times New Roman" w:hAnsi="Times New Roman"/>
          <w:sz w:val="21"/>
          <w:szCs w:val="21"/>
          <w:b w:val="1"/>
          <w:bCs w:val="1"/>
          <w:color w:val="auto"/>
        </w:rPr>
      </w:pPr>
    </w:p>
    <w:p>
      <w:pPr>
        <w:jc w:val="both"/>
        <w:ind w:firstLine="757"/>
        <w:spacing w:after="0" w:line="234" w:lineRule="auto"/>
        <w:tabs>
          <w:tab w:leader="none" w:pos="1018" w:val="left"/>
        </w:tabs>
        <w:numPr>
          <w:ilvl w:val="0"/>
          <w:numId w:val="3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of Expenses of Successful Party</w:t>
      </w:r>
      <w:r>
        <w:rPr>
          <w:rFonts w:ascii="Times New Roman" w:cs="Times New Roman" w:eastAsia="Times New Roman" w:hAnsi="Times New Roman"/>
          <w:sz w:val="22"/>
          <w:szCs w:val="22"/>
          <w:color w:val="auto"/>
        </w:rPr>
        <w:t>. Notwithstanding any other provision of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fullest extent permitted by law and to the extent that Indemnitee is a party to (or a participant in) any proceeding and has been successful on the merits or otherwise in defense of any proceeding or in defense of any claim, issue or matter therein, in whole or part, the Company shall indemnify Indemnitee against all Expenses actually and reasonably incurred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or related to each successfully resolved claim, issue or matter to the fullest extent permitted by law. For these purposes, Indemnitee will be deemed to have been “successful on the merits” upon termination of any proceeding or of any claim, issue or matter therein, by the winning of a motion to dismiss (with or without prejudice), motion for summary judgment, settlement (with or without court approval), or upon a plea of nolo contendere or its equivalent.</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47" w:lineRule="auto"/>
        <w:tabs>
          <w:tab w:leader="none" w:pos="1018" w:val="left"/>
        </w:tabs>
        <w:numPr>
          <w:ilvl w:val="0"/>
          <w:numId w:val="3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Partial Indemnification; Witness Indemnification</w:t>
      </w:r>
      <w:r>
        <w:rPr>
          <w:rFonts w:ascii="Times New Roman" w:cs="Times New Roman" w:eastAsia="Times New Roman" w:hAnsi="Times New Roman"/>
          <w:sz w:val="21"/>
          <w:szCs w:val="21"/>
          <w:color w:val="auto"/>
        </w:rPr>
        <w:t>. If Indemnitee is entitled under any provision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indemnification by the Company for some or a portion of any expenses actually and reasonably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actually and reasonably incurred by Indemnitee or on Indemnitee's behalf in connection therewith.</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1" w:name="page262"/>
    <w:bookmarkEnd w:id="261"/>
    <w:p>
      <w:pPr>
        <w:jc w:val="both"/>
        <w:ind w:firstLine="757"/>
        <w:spacing w:after="0" w:line="232" w:lineRule="auto"/>
        <w:tabs>
          <w:tab w:leader="none" w:pos="1018" w:val="left"/>
        </w:tabs>
        <w:numPr>
          <w:ilvl w:val="0"/>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Advancement of Expenses</w:t>
      </w:r>
      <w:r>
        <w:rPr>
          <w:rFonts w:ascii="Times New Roman" w:cs="Times New Roman" w:eastAsia="Times New Roman" w:hAnsi="Times New Roman"/>
          <w:sz w:val="22"/>
          <w:szCs w:val="22"/>
          <w:color w:val="auto"/>
        </w:rPr>
        <w:t>. The Company shall advance the Expenses incurred by Indemnitee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Advances shall be unsecured, interest free and made without regard to Indemnitee’s ability to repay the expenses. Indemnitee’s right to such advancement is not subject to the satisfaction of any standard of conduct. Advances shall be made without regard to Indemnitee’s ultimate entitlement to be indemnified, held harmless or exonerated under the other provisions of this Agreement. Such advances are intended to be an obligation of the Company to Indemnitee hereunder and shall in no event be deemed to be a personal loan. Advances shall include any and all Expenses actually and reasonably incurred by Indemnitee pursuing an action to enforce Indemnitee’s right to indemnification under this Agreement, or otherwise and this right of advancement.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No other undertaking shall be required. The right to advances under this Section shall continue until final disposition of any proceeding, including any appeal therein. This Section 6 shall not apply to any claim made by Indemnitee for which indemnity is excluded pursuant to Section 10(b). Without limiting the generality or effect of the foregoing, within thirty days after any request by Indemnitee, the Company shall, in accordance with such request (but without duplication), (a) pay such Expenses on behalf of Indemnitee, (b) advance to Indemnitee funds in an amount sufficient to pay such Expenses, or (c) reimburse Indemnitee for such Expenses.</w:t>
      </w:r>
    </w:p>
    <w:p>
      <w:pPr>
        <w:spacing w:after="0" w:line="18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 and Other Indemnification Procedures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of Proceeding</w:t>
      </w:r>
      <w:r>
        <w:rPr>
          <w:rFonts w:ascii="Times New Roman" w:cs="Times New Roman" w:eastAsia="Times New Roman" w:hAnsi="Times New Roman"/>
          <w:sz w:val="22"/>
          <w:szCs w:val="22"/>
          <w:color w:val="auto"/>
        </w:rPr>
        <w:t>. Unless the Company is a co-defendant or has otherwise received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notification in the proceeding, Indemnitee will notify the Company in writing promptly upon being served with any summons, citation, 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1"/>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Request for Indemnification and Indemnification Payments</w:t>
      </w:r>
      <w:r>
        <w:rPr>
          <w:rFonts w:ascii="Times New Roman" w:cs="Times New Roman" w:eastAsia="Times New Roman" w:hAnsi="Times New Roman"/>
          <w:sz w:val="22"/>
          <w:szCs w:val="22"/>
          <w:color w:val="auto"/>
        </w:rPr>
        <w:t>. Indemnitee shall notify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in writing upon receiving notice of any demand, judgment or other requirement for payment that Indemnitee reasonably believes to be subject 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2" w:name="page263"/>
    <w:bookmarkEnd w:id="262"/>
    <w:p>
      <w:pPr>
        <w:jc w:val="both"/>
        <w:spacing w:after="0" w:line="239" w:lineRule="auto"/>
        <w:rPr>
          <w:sz w:val="20"/>
          <w:szCs w:val="20"/>
          <w:color w:val="auto"/>
        </w:rPr>
      </w:pPr>
      <w:r>
        <w:rPr>
          <w:rFonts w:ascii="Times New Roman" w:cs="Times New Roman" w:eastAsia="Times New Roman" w:hAnsi="Times New Roman"/>
          <w:sz w:val="22"/>
          <w:szCs w:val="22"/>
          <w:color w:val="auto"/>
        </w:rPr>
        <w:t>indemnification under the terms of this Agreement, and shall request payment thereof by the Company. Indemnification payments requested by Indemnitee under Sections 3, 4 and 5 hereof shall be made by the Company no later than sixty (60) days after receipt of the written request of Indemnitee. Claims for advancement of Expenses shall be made under the provisions of Section 6 herein.</w:t>
      </w:r>
    </w:p>
    <w:p>
      <w:pPr>
        <w:spacing w:after="0" w:line="176" w:lineRule="exact"/>
        <w:rPr>
          <w:sz w:val="20"/>
          <w:szCs w:val="20"/>
          <w:color w:val="auto"/>
        </w:rPr>
      </w:pPr>
    </w:p>
    <w:p>
      <w:pPr>
        <w:jc w:val="both"/>
        <w:ind w:firstLine="1505"/>
        <w:spacing w:after="0" w:line="235" w:lineRule="auto"/>
        <w:tabs>
          <w:tab w:leader="none" w:pos="2036" w:val="left"/>
        </w:tabs>
        <w:numPr>
          <w:ilvl w:val="1"/>
          <w:numId w:val="3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for Enforcement</w:t>
      </w:r>
      <w:r>
        <w:rPr>
          <w:rFonts w:ascii="Times New Roman" w:cs="Times New Roman" w:eastAsia="Times New Roman" w:hAnsi="Times New Roman"/>
          <w:sz w:val="22"/>
          <w:szCs w:val="22"/>
          <w:color w:val="auto"/>
        </w:rPr>
        <w:t>. In the event the Company fails to make timely payments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6 or 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stockholders or Independent Counsel) that Indemnitee is not entitled to indemnification hereunder, shall not be a defense by the Company to the action nor create any presumption that Indemnitee is not entitled to indemnification or advancement of expenses hereunder.</w:t>
      </w:r>
    </w:p>
    <w:p>
      <w:pPr>
        <w:spacing w:after="0" w:line="178"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1"/>
          <w:numId w:val="3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of Certain Expenses</w:t>
      </w:r>
      <w:r>
        <w:rPr>
          <w:rFonts w:ascii="Times New Roman" w:cs="Times New Roman" w:eastAsia="Times New Roman" w:hAnsi="Times New Roman"/>
          <w:sz w:val="22"/>
          <w:szCs w:val="22"/>
          <w:color w:val="auto"/>
        </w:rPr>
        <w:t>. The Company shall indemnify Indemnitee against all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in connection with any hearing or proceeding under this Section 7 unless the Company prevails in such hearing or proceeding on the merits in all material respects.</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34" w:lineRule="auto"/>
        <w:tabs>
          <w:tab w:leader="none" w:pos="1018" w:val="left"/>
        </w:tabs>
        <w:numPr>
          <w:ilvl w:val="0"/>
          <w:numId w:val="3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Assumption of Defense</w:t>
      </w:r>
      <w:r>
        <w:rPr>
          <w:rFonts w:ascii="Times New Roman" w:cs="Times New Roman" w:eastAsia="Times New Roman" w:hAnsi="Times New Roman"/>
          <w:sz w:val="22"/>
          <w:szCs w:val="22"/>
          <w:color w:val="auto"/>
        </w:rPr>
        <w:t>. In the event the Company shall be requested by Indemnitee to pay the Expenses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3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Insurance. </w:t>
      </w:r>
      <w:r>
        <w:rPr>
          <w:rFonts w:ascii="Times New Roman" w:cs="Times New Roman" w:eastAsia="Times New Roman" w:hAnsi="Times New Roman"/>
          <w:sz w:val="22"/>
          <w:szCs w:val="22"/>
          <w:color w:val="auto"/>
        </w:rPr>
        <w:t>If, at the time of the receipt of a notice of a claim pursuant to the terms hereof, the Company has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policy or policies providing liability insurance for Agents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In the event of a Change in Control or the Company’s becoming insolvent (including being placed into receivership or entering the federal bankruptcy process and the like), the Company shall maintain in force any and all insurance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3" w:name="page264"/>
    <w:bookmarkEnd w:id="263"/>
    <w:p>
      <w:pPr>
        <w:jc w:val="both"/>
        <w:spacing w:after="0" w:line="235" w:lineRule="auto"/>
        <w:rPr>
          <w:sz w:val="20"/>
          <w:szCs w:val="20"/>
          <w:color w:val="auto"/>
        </w:rPr>
      </w:pPr>
      <w:r>
        <w:rPr>
          <w:rFonts w:ascii="Times New Roman" w:cs="Times New Roman" w:eastAsia="Times New Roman" w:hAnsi="Times New Roman"/>
          <w:sz w:val="22"/>
          <w:szCs w:val="22"/>
          <w:color w:val="auto"/>
        </w:rPr>
        <w:t>policies then maintained by the Company in providing insurance (including directors’ and officers’ liability, fiduciary, employment practices or otherwise) in respect of Indemnitee, for a fixed period of six years thereafter (a “</w:t>
      </w:r>
      <w:r>
        <w:rPr>
          <w:rFonts w:ascii="Times New Roman" w:cs="Times New Roman" w:eastAsia="Times New Roman" w:hAnsi="Times New Roman"/>
          <w:sz w:val="22"/>
          <w:szCs w:val="22"/>
          <w:b w:val="1"/>
          <w:bCs w:val="1"/>
          <w:color w:val="auto"/>
        </w:rPr>
        <w:t>Tail Policy</w:t>
      </w:r>
      <w:r>
        <w:rPr>
          <w:rFonts w:ascii="Times New Roman" w:cs="Times New Roman" w:eastAsia="Times New Roman" w:hAnsi="Times New Roman"/>
          <w:sz w:val="22"/>
          <w:szCs w:val="22"/>
          <w:color w:val="auto"/>
        </w:rPr>
        <w:t>”). Such coverage shall be placed by the incumbent insurance brokers with the incumbent insurance carriers using the policies that were in place at the time of the Change in Control or insolvency, as applicable (unless the incumbent carriers will not offer such policies, in which case the Tail Policy placed by the incumbent insurance broker shall be substantially comparable in scope and amount as the expiring policies, and the insurance carriers for the Tail Policy shall have an AM Best rating that is the same or better than the AM Best ratings of the expiring policies).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10.Exceptions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3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Matters</w:t>
      </w:r>
      <w:r>
        <w:rPr>
          <w:rFonts w:ascii="Times New Roman" w:cs="Times New Roman" w:eastAsia="Times New Roman" w:hAnsi="Times New Roman"/>
          <w:sz w:val="22"/>
          <w:szCs w:val="22"/>
          <w:color w:val="auto"/>
        </w:rPr>
        <w:t>. Any provision herein to the contrary notwithstanding, the Company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pursuant to the terms of this Agreement to indemnify Indemnitee on account of any proceeding with respect to a final adjudication not subject to further appeal rendered against Indemnitee for an accounting,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Securities Exchange Act of 1934, as amended, or other provisions of any federal, state or local statute or rules and regulations thereunder.</w:t>
      </w:r>
    </w:p>
    <w:p>
      <w:pPr>
        <w:spacing w:after="0" w:line="178" w:lineRule="exact"/>
        <w:rPr>
          <w:rFonts w:ascii="Times New Roman" w:cs="Times New Roman" w:eastAsia="Times New Roman" w:hAnsi="Times New Roman"/>
          <w:sz w:val="22"/>
          <w:szCs w:val="22"/>
          <w:b w:val="1"/>
          <w:bCs w:val="1"/>
          <w:color w:val="auto"/>
        </w:rPr>
      </w:pPr>
    </w:p>
    <w:p>
      <w:pPr>
        <w:jc w:val="both"/>
        <w:ind w:firstLine="1505"/>
        <w:spacing w:after="0" w:line="247" w:lineRule="auto"/>
        <w:tabs>
          <w:tab w:leader="none" w:pos="2036" w:val="left"/>
        </w:tabs>
        <w:numPr>
          <w:ilvl w:val="0"/>
          <w:numId w:val="3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Claims Initiated by Indemnitee</w:t>
      </w:r>
      <w:r>
        <w:rPr>
          <w:rFonts w:ascii="Times New Roman" w:cs="Times New Roman" w:eastAsia="Times New Roman" w:hAnsi="Times New Roman"/>
          <w:sz w:val="21"/>
          <w:szCs w:val="21"/>
          <w:color w:val="auto"/>
        </w:rPr>
        <w:t>. Any provision herein to the contrary notwithstanding,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be obligated to indemnify or advance Expenses to Indemnitee with respect to proceedings or claims initiated or brought by Indemnitee against the Company or its directors, officers, employees or other agents and not by way of defense, except (i) with respect to proceedings brought to establish or enforce a right to indemnification or advancement under this Agreement or under any other agreement, provision in the Bylaws or the Amended and Restated Certificate of Incorporation of the Company (the “</w:t>
      </w:r>
      <w:r>
        <w:rPr>
          <w:rFonts w:ascii="Times New Roman" w:cs="Times New Roman" w:eastAsia="Times New Roman" w:hAnsi="Times New Roman"/>
          <w:sz w:val="21"/>
          <w:szCs w:val="21"/>
          <w:b w:val="1"/>
          <w:bCs w:val="1"/>
          <w:color w:val="auto"/>
        </w:rPr>
        <w:t>Certificate</w:t>
      </w:r>
      <w:r>
        <w:rPr>
          <w:rFonts w:ascii="Times New Roman" w:cs="Times New Roman" w:eastAsia="Times New Roman" w:hAnsi="Times New Roman"/>
          <w:sz w:val="21"/>
          <w:szCs w:val="21"/>
          <w:color w:val="auto"/>
        </w:rPr>
        <w:t>”)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71" w:lineRule="exact"/>
        <w:rPr>
          <w:rFonts w:ascii="Times New Roman" w:cs="Times New Roman" w:eastAsia="Times New Roman" w:hAnsi="Times New Roman"/>
          <w:sz w:val="21"/>
          <w:szCs w:val="21"/>
          <w:b w:val="1"/>
          <w:bCs w:val="1"/>
          <w:color w:val="auto"/>
        </w:rPr>
      </w:pPr>
    </w:p>
    <w:p>
      <w:pPr>
        <w:jc w:val="both"/>
        <w:ind w:firstLine="1505"/>
        <w:spacing w:after="0" w:line="234" w:lineRule="auto"/>
        <w:tabs>
          <w:tab w:leader="none" w:pos="2036" w:val="left"/>
        </w:tabs>
        <w:numPr>
          <w:ilvl w:val="0"/>
          <w:numId w:val="3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Settlements</w:t>
      </w:r>
      <w:r>
        <w:rPr>
          <w:rFonts w:ascii="Times New Roman" w:cs="Times New Roman" w:eastAsia="Times New Roman" w:hAnsi="Times New Roman"/>
          <w:sz w:val="22"/>
          <w:szCs w:val="22"/>
          <w:color w:val="auto"/>
        </w:rPr>
        <w:t>. Any provision herein to the contrary notwithstanding, the Company shall not be obligated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this Agreement to indemnify Indemnitee under this Agreement for any amounts paid in settlement of a proceeding effected without the Company’s written consent, which shall not be unreasonably withheld.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 The Company shall have the right to settle any proceeding (or any part thereof) with respect to persons other than Indemnitee (including the Company) without the consent of Indemnitee (so long as doing so would not impose a penalty or limitation on the Indemnitee); provided, however, that the Company shall not, on its own behalf,</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4" w:name="page265"/>
    <w:bookmarkEnd w:id="264"/>
    <w:p>
      <w:pPr>
        <w:jc w:val="both"/>
        <w:spacing w:after="0" w:line="249" w:lineRule="auto"/>
        <w:rPr>
          <w:sz w:val="20"/>
          <w:szCs w:val="20"/>
          <w:color w:val="auto"/>
        </w:rPr>
      </w:pPr>
      <w:r>
        <w:rPr>
          <w:rFonts w:ascii="Times New Roman" w:cs="Times New Roman" w:eastAsia="Times New Roman" w:hAnsi="Times New Roman"/>
          <w:sz w:val="21"/>
          <w:szCs w:val="21"/>
          <w:color w:val="auto"/>
        </w:rPr>
        <w:t>settle any part of any proceeding to which Indemnitee is party with respect to other parties (including the Company) without the written consent of Indemnitee if any portion of such settlement is to be funded from insurance proceeds unless approved by (a) the written consent of Indemnitee or (b) a majority of the independent members of the Company’s Board of Directors; provided, further, that the right to constrain the Company’s use of corporate insurance as described in this section shall terminate at the time the Company concludes (per the terms of this Agreement) that (i) Indemnitee is not entitled to indemnification pursuant to this agreement, or (ii) such indemnification obligation to Indemnitee has been fully discharged by the Company.</w:t>
      </w:r>
    </w:p>
    <w:p>
      <w:pPr>
        <w:spacing w:after="0" w:line="167" w:lineRule="exact"/>
        <w:rPr>
          <w:sz w:val="20"/>
          <w:szCs w:val="20"/>
          <w:color w:val="auto"/>
        </w:rPr>
      </w:pPr>
    </w:p>
    <w:p>
      <w:pPr>
        <w:jc w:val="both"/>
        <w:ind w:firstLine="1505"/>
        <w:spacing w:after="0" w:line="235" w:lineRule="auto"/>
        <w:tabs>
          <w:tab w:leader="none" w:pos="2036" w:val="left"/>
        </w:tabs>
        <w:numPr>
          <w:ilvl w:val="0"/>
          <w:numId w:val="3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Act Liabilities</w:t>
      </w:r>
      <w:r>
        <w:rPr>
          <w:rFonts w:ascii="Times New Roman" w:cs="Times New Roman" w:eastAsia="Times New Roman" w:hAnsi="Times New Roman"/>
          <w:sz w:val="22"/>
          <w:szCs w:val="22"/>
          <w:color w:val="auto"/>
        </w:rPr>
        <w:t>. Any provision herein to the contrary notwithstanding, the Company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obligated pursuant to the terms of this Agreement to indemnify Indemnitee or otherwise act in violation of any undertaking appearing in and required by the rules and regulations promulgated under the Securities Act of 1933, as amended (the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3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Prior Payments. </w:t>
      </w:r>
      <w:r>
        <w:rPr>
          <w:rFonts w:ascii="Times New Roman" w:cs="Times New Roman" w:eastAsia="Times New Roman" w:hAnsi="Times New Roman"/>
          <w:sz w:val="22"/>
          <w:szCs w:val="22"/>
          <w:color w:val="auto"/>
        </w:rPr>
        <w:t>Any provision herein to the contrary notwithstanding, the Company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pursuant to the terms of this Agreement to indemnify or advance Expenses to Indemnitee under this Agreement for which payment has actually been made to or on behalf of Indemnitee under any insurance policy procured by the Company or other indemnity provision, except with respect to any excess beyond the amount paid under any insurance policy or indemnity policy.</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11.Nonexclusivity and Survival of Rights</w:t>
      </w:r>
      <w:r>
        <w:rPr>
          <w:rFonts w:ascii="Times New Roman" w:cs="Times New Roman" w:eastAsia="Times New Roman" w:hAnsi="Times New Roman"/>
          <w:sz w:val="22"/>
          <w:szCs w:val="22"/>
          <w:color w:val="auto"/>
        </w:rPr>
        <w:t>. The provisions for indemnification and advancement of expenses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shall not be deemed exclusive of any other rights which Indemnitee may at any time be entitled under any provision of applicable law, the Certificate, the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by written agreement, expressly to assume and agree to perform this Agreement as well as indemnify Indemnitee to the fullest extent permitted by law.</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5" w:name="page266"/>
    <w:bookmarkEnd w:id="265"/>
    <w:p>
      <w:pPr>
        <w:jc w:val="both"/>
        <w:spacing w:after="0" w:line="251" w:lineRule="auto"/>
        <w:rPr>
          <w:sz w:val="20"/>
          <w:szCs w:val="20"/>
          <w:color w:val="auto"/>
        </w:rPr>
      </w:pPr>
      <w:r>
        <w:rPr>
          <w:rFonts w:ascii="Times New Roman" w:cs="Times New Roman" w:eastAsia="Times New Roman" w:hAnsi="Times New Roman"/>
          <w:sz w:val="21"/>
          <w:szCs w:val="21"/>
          <w:color w:val="auto"/>
        </w:rPr>
        <w:t>Certificate,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12.Term</w:t>
      </w:r>
      <w:r>
        <w:rPr>
          <w:rFonts w:ascii="Times New Roman" w:cs="Times New Roman" w:eastAsia="Times New Roman" w:hAnsi="Times New Roman"/>
          <w:sz w:val="22"/>
          <w:szCs w:val="22"/>
          <w:color w:val="auto"/>
        </w:rPr>
        <w:t>. This Agreement shall continue until and terminate upon the later of: (a) ten (10) years after the date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shall have ceased to serve as Agent; or (b) one (1) year after the final termination of any proceeding, including any appeal then pending, in respect to which Indemnitee was granted rights of indemnification or advancement of Expenses hereunder.</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To the fullest extent permitted by applicable law, 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13.Subrogation</w:t>
      </w:r>
      <w:r>
        <w:rPr>
          <w:rFonts w:ascii="Times New Roman" w:cs="Times New Roman" w:eastAsia="Times New Roman" w:hAnsi="Times New Roman"/>
          <w:sz w:val="22"/>
          <w:szCs w:val="22"/>
          <w:color w:val="auto"/>
        </w:rPr>
        <w:t>. In the event of payment under this Agreement, the Company shall be subrogated to the extent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to all of the 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14.Interpretation of Agreement</w:t>
      </w:r>
      <w:r>
        <w:rPr>
          <w:rFonts w:ascii="Times New Roman" w:cs="Times New Roman" w:eastAsia="Times New Roman" w:hAnsi="Times New Roman"/>
          <w:sz w:val="22"/>
          <w:szCs w:val="22"/>
          <w:color w:val="auto"/>
        </w:rPr>
        <w:t>. It is understood that the parties hereto intend this Agreement to be interpreted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enforced so as to provide indemnification and advancement of Expenses to Indemnitee to the fullest extent now or hereafter permitted by law.</w:t>
      </w:r>
    </w:p>
    <w:p>
      <w:pPr>
        <w:spacing w:after="0" w:line="167"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15.Severability</w:t>
      </w:r>
      <w:r>
        <w:rPr>
          <w:rFonts w:ascii="Times New Roman" w:cs="Times New Roman" w:eastAsia="Times New Roman" w:hAnsi="Times New Roman"/>
          <w:sz w:val="21"/>
          <w:szCs w:val="21"/>
          <w:color w:val="auto"/>
        </w:rPr>
        <w:t>. If any provision of this Agreement shall be held to be invalid, illegal or unenforceable for any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w:t>
      </w:r>
    </w:p>
    <w:p>
      <w:pPr>
        <w:spacing w:after="0" w:line="2" w:lineRule="exact"/>
        <w:rPr>
          <w:sz w:val="20"/>
          <w:szCs w:val="20"/>
          <w:color w:val="auto"/>
        </w:rPr>
      </w:pPr>
    </w:p>
    <w:p>
      <w:pPr>
        <w:jc w:val="both"/>
        <w:ind w:firstLine="8"/>
        <w:spacing w:after="0" w:line="234" w:lineRule="auto"/>
        <w:tabs>
          <w:tab w:leader="none" w:pos="312"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16.Amendment and Waiver</w:t>
      </w:r>
      <w:r>
        <w:rPr>
          <w:rFonts w:ascii="Times New Roman" w:cs="Times New Roman" w:eastAsia="Times New Roman" w:hAnsi="Times New Roman"/>
          <w:sz w:val="22"/>
          <w:szCs w:val="22"/>
          <w:color w:val="auto"/>
        </w:rPr>
        <w:t>. No supplement, modification, amendment, or cancellation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binding unless executed in writing by the parties hereto. No waiver of any of the provisions of this Agreement shall be deemed or shall constitute a waiver of any other provision hereof (whether or not similar) nor shall such waiver constitute a continuing waiver.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6" w:name="page267"/>
    <w:bookmarkEnd w:id="266"/>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17.Notice</w:t>
      </w:r>
      <w:r>
        <w:rPr>
          <w:rFonts w:ascii="Times New Roman" w:cs="Times New Roman" w:eastAsia="Times New Roman" w:hAnsi="Times New Roman"/>
          <w:sz w:val="22"/>
          <w:szCs w:val="22"/>
          <w:color w:val="auto"/>
        </w:rPr>
        <w:t>. Except as otherwise provided herein, any notice or demand which, by the provisions hereof, is required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may be given to or 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17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18.Governing Law</w:t>
      </w:r>
      <w:r>
        <w:rPr>
          <w:rFonts w:ascii="Times New Roman" w:cs="Times New Roman" w:eastAsia="Times New Roman" w:hAnsi="Times New Roman"/>
          <w:sz w:val="21"/>
          <w:szCs w:val="21"/>
          <w:color w:val="auto"/>
        </w:rPr>
        <w:t>. This Agreement shall be governed exclusively by and construed according to the laws of the 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Delaware, as applied to contracts between Delaware residents entered into and to be performed entirely within Delaware.</w:t>
      </w:r>
    </w:p>
    <w:p>
      <w:pPr>
        <w:spacing w:after="0" w:line="12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19.Consent to Jurisdiction</w:t>
      </w:r>
      <w:r>
        <w:rPr>
          <w:rFonts w:ascii="Times New Roman" w:cs="Times New Roman" w:eastAsia="Times New Roman" w:hAnsi="Times New Roman"/>
          <w:sz w:val="22"/>
          <w:szCs w:val="22"/>
          <w:color w:val="auto"/>
        </w:rPr>
        <w:t>. The Company and Indemnitee hereby irrevocably and unconditionally (a) agree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or proceeding arising out of or in connection with this Agreement shall be brought only in the Chancery Court of the State of Delaware (the “</w:t>
      </w:r>
      <w:r>
        <w:rPr>
          <w:rFonts w:ascii="Times New Roman" w:cs="Times New Roman" w:eastAsia="Times New Roman" w:hAnsi="Times New Roman"/>
          <w:sz w:val="22"/>
          <w:szCs w:val="22"/>
          <w:b w:val="1"/>
          <w:bCs w:val="1"/>
          <w:color w:val="auto"/>
        </w:rPr>
        <w:t>Delaware Court</w:t>
      </w:r>
      <w:r>
        <w:rPr>
          <w:rFonts w:ascii="Times New Roman" w:cs="Times New Roman" w:eastAsia="Times New Roman" w:hAnsi="Times New Roman"/>
          <w:sz w:val="22"/>
          <w:szCs w:val="22"/>
          <w:color w:val="auto"/>
        </w:rPr>
        <w:t>”), and not in any other state or federal court in the United States of America or any court in any other country, (b) consent to submit to the exclusive jurisdiction of the Delaware Court for purposes of any action or proceeding arising out of or in connection with this Agreement, (c)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(d) waive any objection to the laying of venue of any such action or proceeding in the Delaware Court, and (e) waive, and agree not to plead or to make, any claim that any such action or proceeding brought in the Delaware Court has been brought in an improper or inconvenient forum.</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20.Counterparts</w:t>
      </w:r>
      <w:r>
        <w:rPr>
          <w:rFonts w:ascii="Times New Roman" w:cs="Times New Roman" w:eastAsia="Times New Roman" w:hAnsi="Times New Roman"/>
          <w:sz w:val="22"/>
          <w:szCs w:val="22"/>
          <w:color w:val="auto"/>
        </w:rPr>
        <w:t>. This Agreement may be executed in one or more counterparts, each of which shall for all purposes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be an original but all of which together shall constitute but one and the same Agreement. Only one such counterpart need be produced to evidence the existence of this Agreement.</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21.Headings</w:t>
      </w:r>
      <w:r>
        <w:rPr>
          <w:rFonts w:ascii="Times New Roman" w:cs="Times New Roman" w:eastAsia="Times New Roman" w:hAnsi="Times New Roman"/>
          <w:sz w:val="22"/>
          <w:szCs w:val="22"/>
          <w:color w:val="auto"/>
        </w:rPr>
        <w:t>. The headings of the sections of this Agreement are inserted for convenience only and shall not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constitute part of this Agreement or to affect the construction hereof.</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22.Equitable Remedies</w:t>
      </w:r>
      <w:r>
        <w:rPr>
          <w:rFonts w:ascii="Times New Roman" w:cs="Times New Roman" w:eastAsia="Times New Roman" w:hAnsi="Times New Roman"/>
          <w:sz w:val="22"/>
          <w:szCs w:val="22"/>
          <w:color w:val="auto"/>
        </w:rPr>
        <w:t>. The Company and Indemnitee agree that a monetary remedy for breach of this Agreement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7" w:name="page268"/>
    <w:bookmarkEnd w:id="267"/>
    <w:p>
      <w:pPr>
        <w:jc w:val="both"/>
        <w:spacing w:after="0" w:line="239" w:lineRule="auto"/>
        <w:rPr>
          <w:sz w:val="20"/>
          <w:szCs w:val="20"/>
          <w:color w:val="auto"/>
        </w:rPr>
      </w:pPr>
      <w:r>
        <w:rPr>
          <w:rFonts w:ascii="Times New Roman" w:cs="Times New Roman" w:eastAsia="Times New Roman" w:hAnsi="Times New Roman"/>
          <w:sz w:val="22"/>
          <w:szCs w:val="22"/>
          <w:color w:val="auto"/>
        </w:rPr>
        <w:t>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23.Contribution</w:t>
      </w:r>
      <w:r>
        <w:rPr>
          <w:rFonts w:ascii="Times New Roman" w:cs="Times New Roman" w:eastAsia="Times New Roman" w:hAnsi="Times New Roman"/>
          <w:sz w:val="22"/>
          <w:szCs w:val="22"/>
          <w:color w:val="auto"/>
        </w:rPr>
        <w:t>. To the fullest extent permissible under applicable law, if the indemnification provided for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24.Offset</w:t>
      </w:r>
      <w:r>
        <w:rPr>
          <w:rFonts w:ascii="Times New Roman" w:cs="Times New Roman" w:eastAsia="Times New Roman" w:hAnsi="Times New Roman"/>
          <w:sz w:val="22"/>
          <w:szCs w:val="22"/>
          <w:color w:val="auto"/>
        </w:rPr>
        <w:t>. The Company’s obligation to indemnify, hold harmless, exonerate or advance Expenses hereunder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(a)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(b)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25.Entire Agreement</w:t>
      </w:r>
      <w:r>
        <w:rPr>
          <w:rFonts w:ascii="Times New Roman" w:cs="Times New Roman" w:eastAsia="Times New Roman" w:hAnsi="Times New Roman"/>
          <w:sz w:val="22"/>
          <w:szCs w:val="22"/>
          <w:color w:val="auto"/>
        </w:rPr>
        <w:t>. Subject to Section 11 hereof, this Agreement constitutes the entire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with respect to the subject matter hereof and supersedes all prior agreements, understandings and negotiations, written and oral, between the parties with respect to the subject matter of this Agreement; provided, however, that this Agreement is a supplement to and in furtherance of the Certificate, the Bylaws, the Code and any other applicable law, and shall not be deemed a substitute therefor, and does not diminish or abrogate any rights of Indemnitee thereunder.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emainder of this page left blank</w:t>
      </w:r>
      <w:r>
        <w:rPr>
          <w:rFonts w:ascii="Times New Roman" w:cs="Times New Roman" w:eastAsia="Times New Roman" w:hAnsi="Times New Roman"/>
          <w:sz w:val="22"/>
          <w:szCs w:val="22"/>
          <w:b w:val="1"/>
          <w:bCs w:val="1"/>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hereto have entered into this Agreement effective as of the date first above written.</w:t>
      </w:r>
    </w:p>
    <w:p>
      <w:pPr>
        <w:sectPr>
          <w:pgSz w:w="11900" w:h="16838" w:orient="portrait"/>
          <w:cols w:equalWidth="0" w:num="1">
            <w:col w:w="10100"/>
          </w:cols>
          <w:pgMar w:left="1080" w:top="1404" w:right="719" w:bottom="1440" w:gutter="0" w:footer="0" w:header="0"/>
        </w:sectPr>
      </w:pPr>
    </w:p>
    <w:p>
      <w:pPr>
        <w:spacing w:after="0" w:line="2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00" w:lineRule="exact"/>
        <w:rPr>
          <w:sz w:val="20"/>
          <w:szCs w:val="20"/>
          <w:color w:val="auto"/>
        </w:rPr>
      </w:pPr>
    </w:p>
    <w:p>
      <w:pPr>
        <w:spacing w:after="0" w:line="2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KYNTRA BIO, INC.</w:t>
      </w:r>
    </w:p>
    <w:p>
      <w:pPr>
        <w:spacing w:after="0" w:line="200" w:lineRule="exact"/>
        <w:rPr>
          <w:sz w:val="20"/>
          <w:szCs w:val="20"/>
          <w:color w:val="auto"/>
        </w:rPr>
      </w:pPr>
    </w:p>
    <w:p>
      <w:pPr>
        <w:spacing w:after="0" w:line="2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By: __________________________________</w:t>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w:t>
      </w:r>
    </w:p>
    <w:p>
      <w:pPr>
        <w:jc w:val="center"/>
        <w:ind w:right="-37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416560</wp:posOffset>
            </wp:positionV>
            <wp:extent cx="274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Signature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414020</wp:posOffset>
            </wp:positionV>
            <wp:extent cx="2743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Print or Type 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2158365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080" w:top="1404" w:right="719" w:bottom="1440" w:gutter="0" w:footer="0" w:header="0"/>
          <w:type w:val="continuous"/>
        </w:sectPr>
      </w:pPr>
    </w:p>
    <w:bookmarkStart w:id="269" w:name="page270"/>
    <w:bookmarkEnd w:id="269"/>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0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KYNTRA BIO, INC.</w:t>
      </w:r>
    </w:p>
    <w:p>
      <w:pPr>
        <w:spacing w:after="0" w:line="20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Change in Control and Severance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___________ (the “</w:t>
      </w:r>
      <w:r>
        <w:rPr>
          <w:rFonts w:ascii="Times New Roman" w:cs="Times New Roman" w:eastAsia="Times New Roman" w:hAnsi="Times New Roman"/>
          <w:sz w:val="22"/>
          <w:szCs w:val="22"/>
          <w:u w:val="single" w:color="auto"/>
          <w:color w:val="auto"/>
        </w:rPr>
        <w:t>Effective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by and between ____________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Kyntra Bio,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This</w:t>
      </w:r>
    </w:p>
    <w:p>
      <w:pPr>
        <w:spacing w:after="0"/>
        <w:rPr>
          <w:sz w:val="20"/>
          <w:szCs w:val="20"/>
          <w:color w:val="auto"/>
        </w:rPr>
      </w:pPr>
      <w:r>
        <w:rPr>
          <w:rFonts w:ascii="Times New Roman" w:cs="Times New Roman" w:eastAsia="Times New Roman" w:hAnsi="Times New Roman"/>
          <w:sz w:val="22"/>
          <w:szCs w:val="22"/>
          <w:color w:val="auto"/>
        </w:rPr>
        <w:t>Agreement is intended to provide Executive with certain benefits described herein upon the occurrence of specific events.</w:t>
      </w:r>
    </w:p>
    <w:p>
      <w:pPr>
        <w:spacing w:after="0" w:line="1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ind w:right="80" w:firstLine="757"/>
        <w:spacing w:after="0" w:line="238" w:lineRule="auto"/>
        <w:tabs>
          <w:tab w:leader="none" w:pos="1181"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expected that the Company from time to time will consider the possibility of a Change in Control.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recognizes that such consideration can be a distraction to Executive and can cause Executive to consider alternative employment opportunities. The Board believes that it is in the best interests of the Company and its stockholders to assure that the Company will have the continued dedication and objectivity of Executive, notwithstanding the possibility, threat or occurrence of a Change in Control (as defined below).</w:t>
      </w:r>
    </w:p>
    <w:p>
      <w:pPr>
        <w:spacing w:after="0" w:line="176" w:lineRule="exact"/>
        <w:rPr>
          <w:rFonts w:ascii="Times New Roman" w:cs="Times New Roman" w:eastAsia="Times New Roman" w:hAnsi="Times New Roman"/>
          <w:sz w:val="22"/>
          <w:szCs w:val="22"/>
          <w:color w:val="auto"/>
        </w:rPr>
      </w:pPr>
    </w:p>
    <w:p>
      <w:pPr>
        <w:ind w:right="340" w:firstLine="757"/>
        <w:spacing w:after="0" w:line="258" w:lineRule="auto"/>
        <w:tabs>
          <w:tab w:leader="none" w:pos="1181"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Board believes it is in the best interests of the Company and its shareholders to retain Executive and provide incentives to Executive to continue in the service of the Company.</w:t>
      </w:r>
    </w:p>
    <w:p>
      <w:pPr>
        <w:spacing w:after="0" w:line="158" w:lineRule="exact"/>
        <w:rPr>
          <w:rFonts w:ascii="Times New Roman" w:cs="Times New Roman" w:eastAsia="Times New Roman" w:hAnsi="Times New Roman"/>
          <w:sz w:val="22"/>
          <w:szCs w:val="22"/>
          <w:color w:val="auto"/>
        </w:rPr>
      </w:pPr>
    </w:p>
    <w:p>
      <w:pPr>
        <w:ind w:right="260" w:firstLine="757"/>
        <w:spacing w:after="0" w:line="238" w:lineRule="auto"/>
        <w:tabs>
          <w:tab w:leader="none" w:pos="1181"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further believes that it is imperative to provide Executive with certain benefits upon a qualifying termination of Executive’s employment (whether in connection with a Change in Control or otherwise) which benefits are intended to provide Executive with financial security and provide sufficient income and encouragement to Executive to remain with the Company, notwithstanding the possibility of a Change in Control and/or termination of Executive’s employment with the Company under certain circumstances.</w:t>
      </w:r>
    </w:p>
    <w:p>
      <w:pPr>
        <w:spacing w:after="0" w:line="20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covenants and agreements contained herein, and in consideration of the continuing employment of Executive by the Company, the parties hereto agree as follows:</w:t>
      </w:r>
    </w:p>
    <w:p>
      <w:pPr>
        <w:spacing w:after="0" w:line="158" w:lineRule="exact"/>
        <w:rPr>
          <w:sz w:val="20"/>
          <w:szCs w:val="20"/>
          <w:color w:val="auto"/>
        </w:rPr>
      </w:pPr>
    </w:p>
    <w:p>
      <w:pPr>
        <w:ind w:right="80" w:firstLine="757"/>
        <w:spacing w:after="0" w:line="235" w:lineRule="auto"/>
        <w:tabs>
          <w:tab w:leader="none" w:pos="1018"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term of the Agreement shall begin on the Effective Date and shall end on the third anniversary of the Effective Date. Executive’s employment is at-will, which means that the Company may terminate Executive’s employment at any time, with or without advance notice, and with or without Cause. Similarly, Executive may resign Executive’s employment at any time, with or without advance notice. Executive shall not receive any compensation of any kind, including, without limitation, Stock Awards (as defined below), or other equity award vesting acceleration and severance benefits, following Executive’s termination of employment with the Company in connection with a Change in Control, except as expressly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1167130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04" w:lineRule="exact"/>
        <w:rPr>
          <w:sz w:val="20"/>
          <w:szCs w:val="20"/>
          <w:color w:val="auto"/>
        </w:rPr>
      </w:pPr>
    </w:p>
    <w:p>
      <w:pPr>
        <w:ind w:left="-440" w:firstLine="757"/>
        <w:spacing w:after="0" w:line="234" w:lineRule="auto"/>
        <w:tabs>
          <w:tab w:leader="none" w:pos="578"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Wages, Bonus and Vacation, Expenses</w:t>
      </w:r>
      <w:r>
        <w:rPr>
          <w:rFonts w:ascii="Times New Roman" w:cs="Times New Roman" w:eastAsia="Times New Roman" w:hAnsi="Times New Roman"/>
          <w:sz w:val="22"/>
          <w:szCs w:val="22"/>
          <w:color w:val="auto"/>
        </w:rPr>
        <w:t>. Without regard to the reason for, or the timing of, Executive’s termination of employment: (i) the Company shall pay Executive any unpaid base salary due for periods prior to and including the date of Separation from Service (as defined below); (ii) the Company shall pay Executive all of Executive’s accrued and unused vacation through the date of Separation from Service; (iii) the Company shall pay Executive any earned (as determined and approved by the Board prior to the Separation from Service) but not yet paid incentive bonus from the prior fiscal year, which bonus shall be paid in accordance with the Company’s regular bonus payment process; and (iv) following submission of proper expense reports by Executive, the Company shall reimburse Executive for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w:t>
      </w:r>
    </w:p>
    <w:p>
      <w:pPr>
        <w:spacing w:after="0" w:line="179" w:lineRule="exact"/>
        <w:rPr>
          <w:rFonts w:ascii="Times New Roman" w:cs="Times New Roman" w:eastAsia="Times New Roman" w:hAnsi="Times New Roman"/>
          <w:sz w:val="22"/>
          <w:szCs w:val="22"/>
          <w:color w:val="auto"/>
        </w:rPr>
      </w:pPr>
    </w:p>
    <w:p>
      <w:pPr>
        <w:ind w:left="-440" w:right="300" w:firstLine="757"/>
        <w:spacing w:after="0" w:line="238" w:lineRule="auto"/>
        <w:tabs>
          <w:tab w:leader="none" w:pos="578"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Executive shall be eligible for severance benefits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in the amounts and under the conditions set forth in subsections 3(a) and 3(b) below. For the avoidance of doubt, Executive shall not receive Severance Benefits under more than one such subsection. Notwithstanding any other provision hereof, no Severance Benefits shall be provided upon termination of employment unless such termination constitutes a “separation from service” (within the meaning of Treasury Regulation Section 1.409A-1(h),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440" w:right="100" w:firstLine="1505"/>
        <w:spacing w:after="0" w:line="236" w:lineRule="auto"/>
        <w:tabs>
          <w:tab w:leader="none" w:pos="1596"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upon a Termination in Connection with or Following a Change in Control</w:t>
      </w:r>
      <w:r>
        <w:rPr>
          <w:rFonts w:ascii="Times New Roman" w:cs="Times New Roman" w:eastAsia="Times New Roman" w:hAnsi="Times New Roman"/>
          <w:sz w:val="22"/>
          <w:szCs w:val="22"/>
          <w:color w:val="auto"/>
        </w:rPr>
        <w:t>. If Executive’s employment is terminated by the Company without Cause (as defined below), and other than as a result of death or disability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or Executive resigns his or her employment with the Company for Good Reason (as defined below) in connection with or within [twelve (12)] [nine (9)] months following the effective date of a Change in Control, and provided that Executive delivers an effective release of claims as required under Section 4 below, then Executive shall be entitled to the following Severance Benefits:</w:t>
      </w:r>
    </w:p>
    <w:p>
      <w:pPr>
        <w:spacing w:after="0" w:line="181" w:lineRule="exact"/>
        <w:rPr>
          <w:rFonts w:ascii="Times New Roman" w:cs="Times New Roman" w:eastAsia="Times New Roman" w:hAnsi="Times New Roman"/>
          <w:sz w:val="22"/>
          <w:szCs w:val="22"/>
          <w:color w:val="auto"/>
        </w:rPr>
      </w:pPr>
    </w:p>
    <w:p>
      <w:pPr>
        <w:ind w:left="-440" w:right="60" w:firstLine="2744"/>
        <w:spacing w:after="0" w:line="236" w:lineRule="auto"/>
        <w:tabs>
          <w:tab w:leader="none" w:pos="2615" w:val="left"/>
        </w:tabs>
        <w:numPr>
          <w:ilvl w:val="2"/>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an amount equal to the sum of (A) [twenty-four (24)] [twelve (12)][nine (9)] months of Executive’s then current base salary and (B) [one-and-a half (1.5)] [one-half (0.5)] times Executive’s then current target bonus, ignoring any decrease in base salary or target bonus that forms the basis for Good Reason, less all applicable withholdings and deductions, paid over the [twenty-four (24)] [twelve (12)] [nine (9)] month period immediately following the Separation from Service in accordance with the Company’s regular payroll practices, on the schedule described in Section 4 below.</w:t>
      </w:r>
    </w:p>
    <w:p>
      <w:pPr>
        <w:spacing w:after="0" w:line="181" w:lineRule="exact"/>
        <w:rPr>
          <w:sz w:val="20"/>
          <w:szCs w:val="20"/>
          <w:color w:val="auto"/>
        </w:rPr>
      </w:pPr>
    </w:p>
    <w:p>
      <w:pPr>
        <w:ind w:left="-440" w:right="80" w:firstLine="2714"/>
        <w:spacing w:after="0" w:line="235" w:lineRule="auto"/>
        <w:tabs>
          <w:tab w:leader="none" w:pos="261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Executive’s expenses for continuing his or her health care coverage and the coverage of his or her dependents who are covered at the time of the Executive’s Separation from Service (the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Premiums</w:t>
      </w:r>
      <w:r>
        <w:rPr>
          <w:rFonts w:ascii="Times New Roman" w:cs="Times New Roman" w:eastAsia="Times New Roman" w:hAnsi="Times New Roman"/>
          <w:sz w:val="22"/>
          <w:szCs w:val="22"/>
          <w:color w:val="auto"/>
        </w:rPr>
        <w:t>”)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(or another state law equivalent), as applicable, for a period ending on the earlier of the [eighteen (18)] [twelve (12)] [six (6)]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563880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sectPr>
      </w:pPr>
    </w:p>
    <w:bookmarkStart w:id="271" w:name="page272"/>
    <w:bookmarkEnd w:id="271"/>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without potentially incurring financial costs or penalties under applicable law (including, without limitation, Section 2716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 Health Service Act), the Company shall in lieu thereof pay Executive a taxable cash amount, which payment shall be</w:t>
      </w:r>
    </w:p>
    <w:p>
      <w:pPr>
        <w:spacing w:after="0" w:line="230" w:lineRule="auto"/>
        <w:rPr>
          <w:sz w:val="20"/>
          <w:szCs w:val="20"/>
          <w:color w:val="auto"/>
        </w:rPr>
      </w:pPr>
      <w:r>
        <w:rPr>
          <w:rFonts w:ascii="Times New Roman" w:cs="Times New Roman" w:eastAsia="Times New Roman" w:hAnsi="Times New Roman"/>
          <w:sz w:val="22"/>
          <w:szCs w:val="22"/>
          <w:color w:val="auto"/>
        </w:rPr>
        <w:t>made regardless of whether Executive or Executive’s eligible family members elect health care continuation coverage (the</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Health Care Benefit Payment</w:t>
      </w:r>
      <w:r>
        <w:rPr>
          <w:rFonts w:ascii="Times New Roman" w:cs="Times New Roman" w:eastAsia="Times New Roman" w:hAnsi="Times New Roman"/>
          <w:sz w:val="22"/>
          <w:szCs w:val="22"/>
          <w:color w:val="auto"/>
        </w:rPr>
        <w:t>”). The Health Care Benefit Payment shall be paid in monthly installments on the same schedule</w:t>
      </w:r>
    </w:p>
    <w:p>
      <w:pPr>
        <w:spacing w:after="0" w:line="230" w:lineRule="auto"/>
        <w:rPr>
          <w:sz w:val="20"/>
          <w:szCs w:val="20"/>
          <w:color w:val="auto"/>
        </w:rPr>
      </w:pPr>
      <w:r>
        <w:rPr>
          <w:rFonts w:ascii="Times New Roman" w:cs="Times New Roman" w:eastAsia="Times New Roman" w:hAnsi="Times New Roman"/>
          <w:sz w:val="22"/>
          <w:szCs w:val="22"/>
          <w:color w:val="auto"/>
        </w:rPr>
        <w:t>that the COBRA Premiums would otherwise have been paid to the insurer. The Health Care Benefit Payment shall be equal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amount that the Company would have otherwise paid for COBRA Premiums (which amount shall be calculated based 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premium for the first month of coverage), and shall be paid until the expiration of the period during which the COBRA Premiums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would have been paid.</w:t>
      </w:r>
    </w:p>
    <w:p>
      <w:pPr>
        <w:spacing w:after="0" w:line="182" w:lineRule="exact"/>
        <w:rPr>
          <w:sz w:val="20"/>
          <w:szCs w:val="20"/>
          <w:color w:val="auto"/>
        </w:rPr>
      </w:pPr>
    </w:p>
    <w:p>
      <w:pPr>
        <w:ind w:right="340" w:firstLine="2684"/>
        <w:spacing w:after="0" w:line="244" w:lineRule="auto"/>
        <w:tabs>
          <w:tab w:leader="none" w:pos="3055"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Stock Awards then held by Executive shall become fully vested and exercisable with respect to all of the shares subject thereto effective immediately prior to Executive’s Separation from Service under this Section 3(a).</w:t>
      </w:r>
    </w:p>
    <w:p>
      <w:pPr>
        <w:spacing w:after="0" w:line="17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the event that Executive would be entitled to a greater level of severance benefits under the terms and conditions of a severance plan or policy provided by the Company or its successor to other Company employees being terminated in connection with or within [twelve (12)] months following a Change in Control but for the existence of this Agreement (the “</w:t>
      </w:r>
      <w:r>
        <w:rPr>
          <w:rFonts w:ascii="Times New Roman" w:cs="Times New Roman" w:eastAsia="Times New Roman" w:hAnsi="Times New Roman"/>
          <w:sz w:val="22"/>
          <w:szCs w:val="22"/>
          <w:u w:val="single" w:color="auto"/>
          <w:color w:val="auto"/>
        </w:rPr>
        <w:t>Change in Control Benefits</w:t>
      </w:r>
      <w:r>
        <w:rPr>
          <w:rFonts w:ascii="Times New Roman" w:cs="Times New Roman" w:eastAsia="Times New Roman" w:hAnsi="Times New Roman"/>
          <w:sz w:val="22"/>
          <w:szCs w:val="22"/>
          <w:color w:val="auto"/>
        </w:rPr>
        <w:t>”), Executive shall be entitled to receive the greater of the severance benefits under this Section 3(a) or the Change in Control Benefits, subject to the applicable terms and conditions thereof.</w:t>
      </w:r>
    </w:p>
    <w:p>
      <w:pPr>
        <w:spacing w:after="0" w:line="177" w:lineRule="exact"/>
        <w:rPr>
          <w:sz w:val="20"/>
          <w:szCs w:val="20"/>
          <w:color w:val="auto"/>
        </w:rPr>
      </w:pPr>
    </w:p>
    <w:p>
      <w:pPr>
        <w:ind w:right="140" w:firstLine="1505"/>
        <w:spacing w:after="0" w:line="239" w:lineRule="auto"/>
        <w:tabs>
          <w:tab w:leader="none" w:pos="2036"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Upon Certain Other Terminations</w:t>
      </w:r>
      <w:r>
        <w:rPr>
          <w:rFonts w:ascii="Times New Roman" w:cs="Times New Roman" w:eastAsia="Times New Roman" w:hAnsi="Times New Roman"/>
          <w:sz w:val="22"/>
          <w:szCs w:val="22"/>
          <w:color w:val="auto"/>
        </w:rPr>
        <w:t>. If Executive’s employment is terminated by the Company without Cause, and other than as a result of death or disability, under circumstances other than those set forth in in the foregoing provisions of this Section 3, and provided that Executive delivers an effective release of claims as required under Section 4 below, then Executive shall be entitled to the following severance benefits:</w:t>
      </w:r>
    </w:p>
    <w:p>
      <w:pPr>
        <w:spacing w:after="0" w:line="180" w:lineRule="exact"/>
        <w:rPr>
          <w:rFonts w:ascii="Times New Roman" w:cs="Times New Roman" w:eastAsia="Times New Roman" w:hAnsi="Times New Roman"/>
          <w:sz w:val="22"/>
          <w:szCs w:val="22"/>
          <w:color w:val="auto"/>
        </w:rPr>
      </w:pPr>
    </w:p>
    <w:p>
      <w:pPr>
        <w:ind w:firstLine="2744"/>
        <w:spacing w:after="0" w:line="239" w:lineRule="auto"/>
        <w:tabs>
          <w:tab w:leader="none" w:pos="3055"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an amount equal to [eighteen (18) months] [twelve (12)] [nine (9)] [six (6)] months of Executive’s then current base salary, less all applicable withholdings and deductions, paid over such [eighteen (18) months] [twelve (12)] [nine (9)] [six (6)] month period immediately following the Separation from Service in accordance with the Company’s regular payroll practices, on the schedule described in Section 4 below.</w:t>
      </w:r>
    </w:p>
    <w:p>
      <w:pPr>
        <w:spacing w:after="0" w:line="180" w:lineRule="exact"/>
        <w:rPr>
          <w:sz w:val="20"/>
          <w:szCs w:val="20"/>
          <w:color w:val="auto"/>
        </w:rPr>
      </w:pPr>
    </w:p>
    <w:p>
      <w:pPr>
        <w:ind w:right="20" w:firstLine="2714"/>
        <w:spacing w:after="0" w:line="246" w:lineRule="auto"/>
        <w:tabs>
          <w:tab w:leader="none" w:pos="3055"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Executive’s COBRA Premiums for a period ending on the earlier of the [eighteen (18)] [twelve (12)] [nine (9)] [six (6)]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the Health Care Benefit Payment. The Health Care Benefit Payment shall be paid in monthly installments on the same schedule that the COBRA Premiums would otherwise have been paid to the insurer. The Health Care Benefit Payment shall be equal to the amount that the Company</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would have otherwise paid for COBRA Premiums (which amount shall be calculated based on the premium for the first month of coverage), and shall be paid until the expiration of the period during which the COBRA Premiums would have been paid.</w:t>
      </w:r>
    </w:p>
    <w:p>
      <w:pPr>
        <w:spacing w:after="0" w:line="158" w:lineRule="exact"/>
        <w:rPr>
          <w:sz w:val="20"/>
          <w:szCs w:val="20"/>
          <w:color w:val="auto"/>
        </w:rPr>
      </w:pPr>
    </w:p>
    <w:p>
      <w:pPr>
        <w:ind w:right="60" w:firstLine="757"/>
        <w:spacing w:after="0" w:line="256" w:lineRule="auto"/>
        <w:tabs>
          <w:tab w:leader="none" w:pos="1018"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Prior to Payment of Severance Benefits</w:t>
      </w:r>
      <w:r>
        <w:rPr>
          <w:rFonts w:ascii="Times New Roman" w:cs="Times New Roman" w:eastAsia="Times New Roman" w:hAnsi="Times New Roman"/>
          <w:sz w:val="20"/>
          <w:szCs w:val="20"/>
          <w:color w:val="auto"/>
        </w:rPr>
        <w:t xml:space="preserve">. Prior to the payment of any of the Severance Benefits, Executive shall execute, and allow to become effective, a customary and standard employment release agreement in substantially the form attached hereto as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20"/>
          <w:szCs w:val="20"/>
          <w:color w:val="auto"/>
        </w:rPr>
        <w:t>, as applicable, releasing the Company (and its successor) from any and all claims Executive may have against such entities related to or arising in connection with his or her employment and the terms of such employment and termination thereof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within the time frame set forth therein, but not later than sixty (60) days following Executive’s Separation from Service (the “</w:t>
      </w:r>
      <w:r>
        <w:rPr>
          <w:rFonts w:ascii="Times New Roman" w:cs="Times New Roman" w:eastAsia="Times New Roman" w:hAnsi="Times New Roman"/>
          <w:sz w:val="20"/>
          <w:szCs w:val="20"/>
          <w:u w:val="single" w:color="auto"/>
          <w:color w:val="auto"/>
        </w:rPr>
        <w:t>Release Effective Date</w:t>
      </w:r>
      <w:r>
        <w:rPr>
          <w:rFonts w:ascii="Times New Roman" w:cs="Times New Roman" w:eastAsia="Times New Roman" w:hAnsi="Times New Roman"/>
          <w:sz w:val="20"/>
          <w:szCs w:val="20"/>
          <w:color w:val="auto"/>
        </w:rPr>
        <w:t>”).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Severance Benefits will be paid prior to the Release Effective Date. Within five (5) days following the Release Effective Date, the Company will pay Executive the Severance Benefits Executive would otherwise have received on or prior to such date but for the delay in payment related to the effectiveness of the Release, with the balance of the benefits being paid as originally scheduled. Unless a Change in Control has occurred, the Board, in its sole discretion, may modify the form of the required Release to comply with applicable law and shall determine the form of the required Release, which may be incorporated into a termination agreement or other agreement with Executive. Notwithstanding the foregoing, if the Company (or, if applicable, the successor entity thereto) determines that any of the Severance Benefits constitute “deferred compensation” under Section 409A (defined below), then, solely to the extent necessary to avoid the incurrence of the adverse personal tax consequences under Section 409A, no Severance Benefits will be paid prior to the sixtieth (60th) day following Executive’s Separation from Service. On the sixtieth (60th) day following the date of Separation from Service, the Company will pay to Executive in a lump sum the applicable Severance Benefits that Executive would otherwise have received on or prior to such date, with the balance of the Severance Benefits being paid as originally scheduled.</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on Payments</w:t>
      </w:r>
      <w:r>
        <w:rPr>
          <w:rFonts w:ascii="Times New Roman" w:cs="Times New Roman" w:eastAsia="Times New Roman" w:hAnsi="Times New Roman"/>
          <w:sz w:val="21"/>
          <w:szCs w:val="21"/>
          <w:color w:val="auto"/>
        </w:rPr>
        <w:t>. If any payment or benefit (including payments and benefits pursuant to this Agreement) that Executive would receive in connection with a Change in Control from the Company or otherwise (“</w:t>
      </w:r>
      <w:r>
        <w:rPr>
          <w:rFonts w:ascii="Times New Roman" w:cs="Times New Roman" w:eastAsia="Times New Roman" w:hAnsi="Times New Roman"/>
          <w:sz w:val="21"/>
          <w:szCs w:val="21"/>
          <w:u w:val="single" w:color="auto"/>
          <w:color w:val="auto"/>
        </w:rPr>
        <w:t>Transaction Payment</w:t>
      </w:r>
      <w:r>
        <w:rPr>
          <w:rFonts w:ascii="Times New Roman" w:cs="Times New Roman" w:eastAsia="Times New Roman" w:hAnsi="Times New Roman"/>
          <w:sz w:val="21"/>
          <w:szCs w:val="21"/>
          <w:color w:val="auto"/>
        </w:rPr>
        <w:t>”) would</w:t>
      </w:r>
    </w:p>
    <w:p>
      <w:pPr>
        <w:ind w:right="40" w:firstLine="8"/>
        <w:spacing w:after="0" w:line="232" w:lineRule="auto"/>
        <w:tabs>
          <w:tab w:leader="none" w:pos="258"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cs="Times New Roman" w:eastAsia="Times New Roman" w:hAnsi="Times New Roman"/>
          <w:sz w:val="22"/>
          <w:szCs w:val="22"/>
          <w:u w:val="single" w:color="auto"/>
          <w:color w:val="auto"/>
        </w:rPr>
        <w:t>Full Payment</w:t>
      </w:r>
      <w:r>
        <w:rPr>
          <w:rFonts w:ascii="Times New Roman" w:cs="Times New Roman" w:eastAsia="Times New Roman" w:hAnsi="Times New Roman"/>
          <w:sz w:val="22"/>
          <w:szCs w:val="22"/>
          <w:color w:val="auto"/>
        </w:rPr>
        <w:t>”), or (2) payment of only a part of the Transaction Payment so that Executive receives the largest payment possible without the imposition of the Excise Tax (a “</w:t>
      </w:r>
      <w:r>
        <w:rPr>
          <w:rFonts w:ascii="Times New Roman" w:cs="Times New Roman" w:eastAsia="Times New Roman" w:hAnsi="Times New Roman"/>
          <w:sz w:val="22"/>
          <w:szCs w:val="22"/>
          <w:u w:val="single" w:color="auto"/>
          <w:color w:val="auto"/>
        </w:rPr>
        <w:t>Reduced Payment</w:t>
      </w:r>
      <w:r>
        <w:rPr>
          <w:rFonts w:ascii="Times New Roman" w:cs="Times New Roman" w:eastAsia="Times New Roman" w:hAnsi="Times New Roman"/>
          <w:sz w:val="22"/>
          <w:szCs w:val="22"/>
          <w:color w:val="auto"/>
        </w:rPr>
        <w:t>”) .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0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1"/>
          <w:szCs w:val="21"/>
          <w:color w:val="auto"/>
        </w:rPr>
        <w:t>such state and local taxes). If a Reduced Payment is made, (x) Executive shall have no rights to any additional payments and/or benefits constituting the Transaction Payment, and (y) reduction in payments and/or benefits will occur in the following order:</w:t>
      </w:r>
    </w:p>
    <w:p>
      <w:pPr>
        <w:spacing w:after="0" w:line="1" w:lineRule="exact"/>
        <w:rPr>
          <w:sz w:val="20"/>
          <w:szCs w:val="20"/>
          <w:color w:val="auto"/>
        </w:rPr>
      </w:pPr>
    </w:p>
    <w:p>
      <w:pPr>
        <w:ind w:right="40" w:firstLine="8"/>
        <w:spacing w:after="0" w:line="233" w:lineRule="auto"/>
        <w:tabs>
          <w:tab w:leader="none" w:pos="30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 any stockholder be liable to Executive for any amounts not paid as a result of the operation of this Section 5.</w:t>
      </w:r>
    </w:p>
    <w:p>
      <w:pPr>
        <w:spacing w:after="0" w:line="179" w:lineRule="exact"/>
        <w:rPr>
          <w:rFonts w:ascii="Times New Roman" w:cs="Times New Roman" w:eastAsia="Times New Roman" w:hAnsi="Times New Roman"/>
          <w:sz w:val="22"/>
          <w:szCs w:val="22"/>
          <w:color w:val="auto"/>
        </w:rPr>
      </w:pPr>
    </w:p>
    <w:p>
      <w:pPr>
        <w:ind w:firstLine="1505"/>
        <w:spacing w:after="0" w:line="236" w:lineRule="auto"/>
        <w:tabs>
          <w:tab w:leader="none" w:pos="2036" w:val="left"/>
        </w:tabs>
        <w:numPr>
          <w:ilvl w:val="2"/>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professional firm engaged by the Company for general tax purposes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81" w:lineRule="exact"/>
        <w:rPr>
          <w:rFonts w:ascii="Times New Roman" w:cs="Times New Roman" w:eastAsia="Times New Roman" w:hAnsi="Times New Roman"/>
          <w:sz w:val="22"/>
          <w:szCs w:val="22"/>
          <w:color w:val="auto"/>
        </w:rPr>
      </w:pPr>
    </w:p>
    <w:p>
      <w:pPr>
        <w:ind w:right="60" w:firstLine="1505"/>
        <w:spacing w:after="0" w:line="248" w:lineRule="auto"/>
        <w:tabs>
          <w:tab w:leader="none" w:pos="2036" w:val="left"/>
        </w:tabs>
        <w:numPr>
          <w:ilvl w:val="2"/>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70"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40" w:firstLine="1505"/>
        <w:spacing w:after="0" w:line="236" w:lineRule="auto"/>
        <w:tabs>
          <w:tab w:leader="none" w:pos="2036" w:val="left"/>
        </w:tabs>
        <w:numPr>
          <w:ilvl w:val="2"/>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Successors</w:t>
      </w:r>
      <w:r>
        <w:rPr>
          <w:rFonts w:ascii="Times New Roman" w:cs="Times New Roman" w:eastAsia="Times New Roman" w:hAnsi="Times New Roman"/>
          <w:sz w:val="22"/>
          <w:szCs w:val="22"/>
          <w:color w:val="auto"/>
        </w:rPr>
        <w:t>. Any successor to the Company (whether direct or indirect and whether by purchase, lease, merger, consolidation, liquidation or otherwise) to all 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“Company” shall include any such successor.</w:t>
      </w:r>
    </w:p>
    <w:p>
      <w:pPr>
        <w:spacing w:after="0" w:line="208" w:lineRule="exact"/>
        <w:rPr>
          <w:rFonts w:ascii="Times New Roman" w:cs="Times New Roman" w:eastAsia="Times New Roman" w:hAnsi="Times New Roman"/>
          <w:sz w:val="22"/>
          <w:szCs w:val="22"/>
          <w:color w:val="auto"/>
        </w:rPr>
      </w:pPr>
    </w:p>
    <w:p>
      <w:pPr>
        <w:ind w:right="80" w:firstLine="1505"/>
        <w:spacing w:after="0" w:line="239" w:lineRule="auto"/>
        <w:tabs>
          <w:tab w:leader="none" w:pos="2036" w:val="left"/>
        </w:tabs>
        <w:numPr>
          <w:ilvl w:val="2"/>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Without the written consent of the Company, Executive shall not assign or transfer any right or obligation under this Agreement to any other person or entity. Notwithstanding the foregoing, the terms of this Agreement and all rights of Executive hereunder shall inure to the benefit of, and be enforceable by, Executive’s personal or legal representatives, executors, administrators, successors, heirs, distributees, devisees and legatees.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4" w:name="page275"/>
    <w:bookmarkEnd w:id="274"/>
    <w:p>
      <w:pPr>
        <w:spacing w:after="0" w:line="104" w:lineRule="exact"/>
        <w:rPr>
          <w:sz w:val="20"/>
          <w:szCs w:val="20"/>
          <w:color w:val="auto"/>
        </w:rPr>
      </w:pPr>
    </w:p>
    <w:p>
      <w:pPr>
        <w:ind w:left="580" w:hanging="263"/>
        <w:spacing w:after="0"/>
        <w:tabs>
          <w:tab w:leader="none" w:pos="5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440" w:right="20" w:firstLine="1505"/>
        <w:spacing w:after="0" w:line="238" w:lineRule="auto"/>
        <w:tabs>
          <w:tab w:leader="none" w:pos="1596"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the case of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176" w:lineRule="exact"/>
        <w:rPr>
          <w:rFonts w:ascii="Times New Roman" w:cs="Times New Roman" w:eastAsia="Times New Roman" w:hAnsi="Times New Roman"/>
          <w:sz w:val="22"/>
          <w:szCs w:val="22"/>
          <w:color w:val="auto"/>
        </w:rPr>
      </w:pPr>
    </w:p>
    <w:p>
      <w:pPr>
        <w:ind w:left="-440" w:right="160" w:firstLine="1505"/>
        <w:spacing w:after="0" w:line="244" w:lineRule="auto"/>
        <w:tabs>
          <w:tab w:leader="none" w:pos="1596"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by the Company with or without Cause or by Executive as a result of a voluntary resignation for any reason shall be communicated by a notice of termination to the other party hereto given in accordance with this Agreement.</w:t>
      </w:r>
    </w:p>
    <w:p>
      <w:pPr>
        <w:spacing w:after="0" w:line="173" w:lineRule="exact"/>
        <w:rPr>
          <w:rFonts w:ascii="Times New Roman" w:cs="Times New Roman" w:eastAsia="Times New Roman" w:hAnsi="Times New Roman"/>
          <w:sz w:val="22"/>
          <w:szCs w:val="22"/>
          <w:color w:val="auto"/>
        </w:rPr>
      </w:pPr>
    </w:p>
    <w:p>
      <w:pPr>
        <w:ind w:left="-440" w:firstLine="757"/>
        <w:spacing w:after="0" w:line="233" w:lineRule="auto"/>
        <w:tabs>
          <w:tab w:leader="none" w:pos="578"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The Company and Executive shall attempt to settle any disputes arising in connection with this Agreement through good faith consultation. In the event that Executive and the Company are not able to resolve any such disputes within fifteen (15) days after notification in writing to the other, any dispute or claim arising out of or in connection with this Agreement will be finally settled by binding arbitration in San Francisco, California in accordance with the rules of the American Arbitration Association by one arbitrator mutually agreed upon by the parties. The arbitrator will apply California law, without reference to rules of conflicts of law or rules of statutory arbitration, to the resolution of any dispute. Except as set forth in Section 10(h) below, the arbitrator shall not have authority to modify the terms of this Agreement. The Company shall pay the costs of the arbitration proceeding. Each party shall, unless otherwise determined by the arbitrator, bear its or his or her own attorneys’ fees and expenses, provided however that if Executive prevails in an arbitration proceeding, the Company shall reimburse Executive for his or her reasonable attorneys' fees and costs. Judgment on the award rendered by the arbitrator may be entered in any court having jurisdiction thereof. Notwithstanding the foregoing, the Company and Executive may apply to any court of competent jurisdiction for preliminary or interim equitable relief, or to compel arbitration in accordance with this paragraph, without breach of this arbitration provision.</w:t>
      </w:r>
    </w:p>
    <w:p>
      <w:pPr>
        <w:spacing w:after="0" w:line="182" w:lineRule="exact"/>
        <w:rPr>
          <w:rFonts w:ascii="Times New Roman" w:cs="Times New Roman" w:eastAsia="Times New Roman" w:hAnsi="Times New Roman"/>
          <w:sz w:val="22"/>
          <w:szCs w:val="22"/>
          <w:color w:val="auto"/>
        </w:rPr>
      </w:pPr>
    </w:p>
    <w:p>
      <w:pPr>
        <w:ind w:left="580" w:hanging="263"/>
        <w:spacing w:after="0"/>
        <w:tabs>
          <w:tab w:leader="none" w:pos="5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shall have the following meanings:</w:t>
      </w:r>
    </w:p>
    <w:p>
      <w:pPr>
        <w:spacing w:after="0" w:line="206" w:lineRule="exact"/>
        <w:rPr>
          <w:rFonts w:ascii="Times New Roman" w:cs="Times New Roman" w:eastAsia="Times New Roman" w:hAnsi="Times New Roman"/>
          <w:sz w:val="22"/>
          <w:szCs w:val="22"/>
          <w:color w:val="auto"/>
        </w:rPr>
      </w:pPr>
    </w:p>
    <w:p>
      <w:pPr>
        <w:ind w:left="-440" w:right="20" w:firstLine="1505"/>
        <w:spacing w:after="0" w:line="246" w:lineRule="auto"/>
        <w:tabs>
          <w:tab w:leader="none" w:pos="1596" w:val="left"/>
        </w:tabs>
        <w:numPr>
          <w:ilvl w:val="1"/>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for termination of Executive’s employment will exist if Executive is terminated by the Company for any of the following reasons: (i) Executive’s willful failure substantially to perform his or her duties and responsibilities to the Company or deliberate violation of a Company policy; (ii) Executive’s commission of any act of fraud, embezzlement, dishonesty or any other willful misconduct that has caused or is reasonably expected to result in material injury to the Company; (iii) unauthorized use or disclosure by Executive of any proprietary information or trade secrets of the Company or any other party to whom Executive owes an obligation of nondisclosure as a result of his or her relationship with the Company; or (iv) Executive’s willful breach of any of his or her obligations under any written agreement or covenant with the Company. The determination as to whether Executive is being terminated for Cause shall be made in good faith by the Company and shall be final and binding on Executive. The foregoing definition does not in any way limit the Company’s ability to terminate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563880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440" w:right="359" w:bottom="1440" w:gutter="0" w:footer="0" w:header="0"/>
        </w:sectPr>
      </w:pPr>
    </w:p>
    <w:bookmarkStart w:id="275" w:name="page276"/>
    <w:bookmarkEnd w:id="275"/>
    <w:p>
      <w:pPr>
        <w:spacing w:after="0" w:line="104" w:lineRule="exact"/>
        <w:rPr>
          <w:sz w:val="20"/>
          <w:szCs w:val="20"/>
          <w:color w:val="auto"/>
        </w:rPr>
      </w:pPr>
    </w:p>
    <w:p>
      <w:pPr>
        <w:ind w:right="1060"/>
        <w:spacing w:after="0" w:line="258" w:lineRule="auto"/>
        <w:rPr>
          <w:sz w:val="20"/>
          <w:szCs w:val="20"/>
          <w:color w:val="auto"/>
        </w:rPr>
      </w:pPr>
      <w:r>
        <w:rPr>
          <w:rFonts w:ascii="Times New Roman" w:cs="Times New Roman" w:eastAsia="Times New Roman" w:hAnsi="Times New Roman"/>
          <w:sz w:val="22"/>
          <w:szCs w:val="22"/>
          <w:color w:val="auto"/>
        </w:rPr>
        <w:t>Executive’s employment relationship at any time as provided in Sections 1 and 10(d) of this Agreement, and the term “Company” will be interpreted to include any subsidiary, parent or affiliate of the Company, as appropriate.</w:t>
      </w:r>
    </w:p>
    <w:p>
      <w:pPr>
        <w:spacing w:after="0" w:line="185" w:lineRule="exact"/>
        <w:rPr>
          <w:sz w:val="20"/>
          <w:szCs w:val="20"/>
          <w:color w:val="auto"/>
        </w:rPr>
      </w:pPr>
    </w:p>
    <w:p>
      <w:pPr>
        <w:ind w:right="40" w:firstLine="1505"/>
        <w:spacing w:after="0" w:line="247" w:lineRule="exact"/>
        <w:tabs>
          <w:tab w:leader="none" w:pos="236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first to occur of any of the following transactions that also constitutes a change in the ownership or effective control of the Company, or a change in the ownership of a substantial portion of the Company’s assets, as described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3(i)(5): (A) a merger or consolidation in which the Company is not the surviving entity, except for a transaction the principal purpose of which is to change the state in which the Company is incorporated; (B) the sale, transfer or other disposition of all or substantially all of the assets of the Company (including the capital stock of the Company’s subsidiary corporations); (C) any reverse merger in which the Company is the surviving entity but in which securities possessing more than fifty percent (50%) of the total combined voting power of the Company’s outstanding securities are transferred to a person or persons different from those who held such securities immediately prior to such merger; or (D) an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spacing w:after="0" w:line="185" w:lineRule="exact"/>
        <w:rPr>
          <w:rFonts w:ascii="Times New Roman" w:cs="Times New Roman" w:eastAsia="Times New Roman" w:hAnsi="Times New Roman"/>
          <w:sz w:val="22"/>
          <w:szCs w:val="22"/>
          <w:color w:val="auto"/>
        </w:rPr>
      </w:pPr>
    </w:p>
    <w:p>
      <w:pPr>
        <w:ind w:firstLine="1505"/>
        <w:spacing w:after="0" w:line="244" w:lineRule="auto"/>
        <w:tabs>
          <w:tab w:leader="none" w:pos="2361"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for Executive's resignation of his or her employment shall exist following the occurrence of any of the following without Executive’s written consent: (i) a material reduction in job duties or responsibilities inconsistent with the Executive’s position with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reduction or change after a Change in Control will not constitute Good Reason if Executive retains reasonably comparable duties, and responsibilities with respect to the Company’s business within the successor entity following a Change of Control; (ii) a material reduction of Executive’s then current base salary or target bonus; (iii) the relocation of Executive’s principal place of employment to a place that increases Executive’s one-way commute by more than forty (40) miles as compared to Executive’s then current principal place of employment immediately prior to such relocation; (iv) any material breach by the Company of the Plan or any other written agreement between the Company and the Executive; or (v) the failure by any successor to the Company to assume the Plan and any obligations under the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Executive gives written notice to the Company of the event forming the basis of the termination for Good Reason within sixty (60) days after the date on which the Company gives written notice to the Executive of the Company’s affirmative decision to take an action set forth in clause (i), (ii), (iii), (iv) or (v) above, the Company fails to cure such basis for the Good Reason resignation within thirty (30) days after receipt of Executive’s written notice and Executive terminates his or her employment within thirty (30) days following the expiration of the cure period.</w:t>
      </w:r>
    </w:p>
    <w:p>
      <w:pPr>
        <w:spacing w:after="0" w:line="180" w:lineRule="exact"/>
        <w:rPr>
          <w:rFonts w:ascii="Times New Roman" w:cs="Times New Roman" w:eastAsia="Times New Roman" w:hAnsi="Times New Roman"/>
          <w:sz w:val="21"/>
          <w:szCs w:val="21"/>
          <w:color w:val="auto"/>
        </w:rPr>
      </w:pPr>
    </w:p>
    <w:p>
      <w:pPr>
        <w:ind w:firstLine="1505"/>
        <w:spacing w:after="0" w:line="239" w:lineRule="auto"/>
        <w:tabs>
          <w:tab w:leader="none" w:pos="236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collectively refers to (i) Company’s Amended and Restated 2005 Stock Plan, adopted by the Board on February 17, 2005, as amended from time to time, (ii) Company’s 2014 Equity Incentive Plan, adopted by the Board on September 9, 2014, as amended from time to time, (iii) Company’s 2024 Equity Incentive Plan, adopted by the Board on April 22, 2024, and (iii) any preceding and succeeding plans thereto.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6" w:name="page277"/>
    <w:bookmarkEnd w:id="276"/>
    <w:p>
      <w:pPr>
        <w:spacing w:after="0" w:line="104" w:lineRule="exact"/>
        <w:rPr>
          <w:sz w:val="20"/>
          <w:szCs w:val="20"/>
          <w:color w:val="auto"/>
        </w:rPr>
      </w:pPr>
    </w:p>
    <w:p>
      <w:pPr>
        <w:ind w:left="-440" w:right="60" w:firstLine="1505"/>
        <w:spacing w:after="0" w:line="235" w:lineRule="auto"/>
        <w:tabs>
          <w:tab w:leader="none" w:pos="1596"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Awards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Stock Award(s)</w:t>
      </w:r>
      <w:r>
        <w:rPr>
          <w:rFonts w:ascii="Times New Roman" w:cs="Times New Roman" w:eastAsia="Times New Roman" w:hAnsi="Times New Roman"/>
          <w:sz w:val="22"/>
          <w:szCs w:val="22"/>
          <w:color w:val="auto"/>
        </w:rPr>
        <w:t xml:space="preserve">” means any right to receive or purchase equity of the Company or other equity based award or compensation as granted under the Plan, including without limitation an Incentive Stock Option, a Nonstatutory Stock Option, a Stock Purchase Award, a Stock Bonus Award, a Restricted Stock Award, a Restricted Stock Unit Award, a Stock Unit Award, a Stock Appreciation Right, a Performance Stock Award or any Other Stock Award, each of the foregoing as defined under the Plan;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Stock Award shall not include any of the foregoing awards to the extent that the grant documentation evidencing such award explicitly provides that the terms of this Agreement shall be superseded by the provisions of such grant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-28575</wp:posOffset>
            </wp:positionV>
            <wp:extent cx="10287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40" w:right="20" w:firstLine="1505"/>
        <w:spacing w:after="0" w:line="238" w:lineRule="auto"/>
        <w:tabs>
          <w:tab w:leader="none" w:pos="159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Obligations</w:t>
      </w:r>
      <w:r>
        <w:rPr>
          <w:rFonts w:ascii="Times New Roman" w:cs="Times New Roman" w:eastAsia="Times New Roman" w:hAnsi="Times New Roman"/>
          <w:sz w:val="22"/>
          <w:szCs w:val="22"/>
          <w:color w:val="auto"/>
        </w:rPr>
        <w:t>. Notwithstanding anything to the contrary contained herein, payment of any of the Severance Benefits will be conditioned upon (i) Executive continuing to comply with his or her obligations under his or her Confidential Information, Secrecy and Invention Agreement during the period of time in which Executive is receiving the Severance Benefits; and (ii) if Executive is a member of the Board, Executive’s resignation from the Board, to be effective no later than the date of Separation from Service (or such other date as requested by the Board).</w:t>
      </w:r>
    </w:p>
    <w:p>
      <w:pPr>
        <w:spacing w:after="0" w:line="176" w:lineRule="exact"/>
        <w:rPr>
          <w:rFonts w:ascii="Times New Roman" w:cs="Times New Roman" w:eastAsia="Times New Roman" w:hAnsi="Times New Roman"/>
          <w:sz w:val="22"/>
          <w:szCs w:val="22"/>
          <w:color w:val="auto"/>
        </w:rPr>
      </w:pPr>
    </w:p>
    <w:p>
      <w:pPr>
        <w:ind w:left="-440" w:firstLine="1505"/>
        <w:spacing w:after="0" w:line="239" w:lineRule="auto"/>
        <w:tabs>
          <w:tab w:leader="none" w:pos="159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Statutory Benefits</w:t>
      </w:r>
      <w:r>
        <w:rPr>
          <w:rFonts w:ascii="Times New Roman" w:cs="Times New Roman" w:eastAsia="Times New Roman" w:hAnsi="Times New Roman"/>
          <w:sz w:val="22"/>
          <w:szCs w:val="22"/>
          <w:color w:val="auto"/>
        </w:rPr>
        <w:t>. To the extent that any severance benefits are required to be paid to Executive upon termination of employment with the Company as a result of any requirement of law or any governmental entity in any applicable jurisdiction, the aggregate amount of severance benefits payable pursuant to Section 3 hereof shall not be reduced by such amount.</w:t>
      </w:r>
    </w:p>
    <w:p>
      <w:pPr>
        <w:spacing w:after="0" w:line="207" w:lineRule="exact"/>
        <w:rPr>
          <w:rFonts w:ascii="Times New Roman" w:cs="Times New Roman" w:eastAsia="Times New Roman" w:hAnsi="Times New Roman"/>
          <w:sz w:val="22"/>
          <w:szCs w:val="22"/>
          <w:color w:val="auto"/>
        </w:rPr>
      </w:pPr>
    </w:p>
    <w:p>
      <w:pPr>
        <w:ind w:left="-440" w:right="260" w:firstLine="1505"/>
        <w:spacing w:after="0" w:line="244" w:lineRule="auto"/>
        <w:tabs>
          <w:tab w:leader="none" w:pos="159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shall not be required to mitigate the amount of any payment contemplated by this Agreement, nor shall any such payment be reduced by any earnings that Executive may receive from any other source.</w:t>
      </w:r>
    </w:p>
    <w:p>
      <w:pPr>
        <w:spacing w:after="0" w:line="200" w:lineRule="exact"/>
        <w:rPr>
          <w:rFonts w:ascii="Times New Roman" w:cs="Times New Roman" w:eastAsia="Times New Roman" w:hAnsi="Times New Roman"/>
          <w:sz w:val="22"/>
          <w:szCs w:val="22"/>
          <w:color w:val="auto"/>
        </w:rPr>
      </w:pPr>
    </w:p>
    <w:p>
      <w:pPr>
        <w:ind w:left="-440" w:right="20" w:firstLine="1505"/>
        <w:spacing w:after="0" w:line="258" w:lineRule="auto"/>
        <w:tabs>
          <w:tab w:leader="none" w:pos="159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 Status</w:t>
      </w:r>
      <w:r>
        <w:rPr>
          <w:rFonts w:ascii="Times New Roman" w:cs="Times New Roman" w:eastAsia="Times New Roman" w:hAnsi="Times New Roman"/>
          <w:sz w:val="22"/>
          <w:szCs w:val="22"/>
          <w:color w:val="auto"/>
        </w:rPr>
        <w:t>. Nothing in this Agreement modifies Executive’s at-will employment status. Either Executive or the Company can terminate the employment relationship at any time, with or without Cause.</w:t>
      </w:r>
    </w:p>
    <w:p>
      <w:pPr>
        <w:spacing w:after="0" w:line="158" w:lineRule="exact"/>
        <w:rPr>
          <w:rFonts w:ascii="Times New Roman" w:cs="Times New Roman" w:eastAsia="Times New Roman" w:hAnsi="Times New Roman"/>
          <w:sz w:val="22"/>
          <w:szCs w:val="22"/>
          <w:color w:val="auto"/>
        </w:rPr>
      </w:pPr>
    </w:p>
    <w:p>
      <w:pPr>
        <w:ind w:left="-440" w:right="20" w:firstLine="1505"/>
        <w:spacing w:after="0" w:line="239" w:lineRule="auto"/>
        <w:tabs>
          <w:tab w:leader="none" w:pos="159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may be waived or discharged unless the waiver or discharge is agreed to in writing and signed by the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0" w:lineRule="exact"/>
        <w:rPr>
          <w:rFonts w:ascii="Times New Roman" w:cs="Times New Roman" w:eastAsia="Times New Roman" w:hAnsi="Times New Roman"/>
          <w:sz w:val="22"/>
          <w:szCs w:val="22"/>
          <w:color w:val="auto"/>
        </w:rPr>
      </w:pPr>
    </w:p>
    <w:p>
      <w:pPr>
        <w:ind w:left="-440" w:right="180" w:firstLine="1505"/>
        <w:spacing w:after="0" w:line="238" w:lineRule="auto"/>
        <w:tabs>
          <w:tab w:leader="none" w:pos="159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supersedes all prior or contemporaneous agreements, whether written or oral, with respect to this Agreement; provided that, for clarification purposes, this Agreement shall not affect any agreements between the Company and Executive regarding intellectual property matters, non-solicitation or non-competition restrictions or confidential information of the Company. This Agreement expressly supersedes and terminates all Change in Control and Severance Agreements entered into by and between Company and Executive prior to the Effective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563880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sectPr>
      </w:pPr>
    </w:p>
    <w:bookmarkStart w:id="277" w:name="page278"/>
    <w:bookmarkEnd w:id="277"/>
    <w:p>
      <w:pPr>
        <w:spacing w:after="0" w:line="104" w:lineRule="exact"/>
        <w:rPr>
          <w:sz w:val="20"/>
          <w:szCs w:val="20"/>
          <w:color w:val="auto"/>
        </w:rPr>
      </w:pPr>
    </w:p>
    <w:p>
      <w:pPr>
        <w:ind w:left="-440" w:right="400" w:firstLine="1505"/>
        <w:spacing w:after="0" w:line="258" w:lineRule="auto"/>
        <w:tabs>
          <w:tab w:leader="none" w:pos="159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shall be governed by the internal substantive laws, but not the conflicts of law rules, of the State of California.</w:t>
      </w:r>
    </w:p>
    <w:p>
      <w:pPr>
        <w:spacing w:after="0" w:line="158" w:lineRule="exact"/>
        <w:rPr>
          <w:rFonts w:ascii="Times New Roman" w:cs="Times New Roman" w:eastAsia="Times New Roman" w:hAnsi="Times New Roman"/>
          <w:sz w:val="22"/>
          <w:szCs w:val="22"/>
          <w:color w:val="auto"/>
        </w:rPr>
      </w:pPr>
    </w:p>
    <w:p>
      <w:pPr>
        <w:ind w:left="-440" w:firstLine="1505"/>
        <w:spacing w:after="0" w:line="258" w:lineRule="auto"/>
        <w:tabs>
          <w:tab w:leader="none" w:pos="159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58" w:lineRule="exact"/>
        <w:rPr>
          <w:rFonts w:ascii="Times New Roman" w:cs="Times New Roman" w:eastAsia="Times New Roman" w:hAnsi="Times New Roman"/>
          <w:sz w:val="22"/>
          <w:szCs w:val="22"/>
          <w:color w:val="auto"/>
        </w:rPr>
      </w:pPr>
    </w:p>
    <w:p>
      <w:pPr>
        <w:ind w:left="-440" w:right="40" w:firstLine="1505"/>
        <w:spacing w:after="0" w:line="238" w:lineRule="auto"/>
        <w:tabs>
          <w:tab w:leader="none" w:pos="159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and Employment Taxes</w:t>
      </w:r>
      <w:r>
        <w:rPr>
          <w:rFonts w:ascii="Times New Roman" w:cs="Times New Roman" w:eastAsia="Times New Roman" w:hAnsi="Times New Roman"/>
          <w:sz w:val="22"/>
          <w:szCs w:val="22"/>
          <w:color w:val="auto"/>
        </w:rPr>
        <w:t>. Executive is responsible for any applicable taxes of any nature (including any penalties or interest that may apply to such taxes) that the Company reasonably determines apply to any payment made hereunder. Executive’s receipt of any benefit hereunder is conditioned on his or her satisfaction of any applicable withholding or similar obligations that apply to such benefit and any cash payment owed hereunder will be reduced to satisfy any such withholding or similar obligations that may apply.</w:t>
      </w:r>
    </w:p>
    <w:p>
      <w:pPr>
        <w:spacing w:after="0" w:line="176" w:lineRule="exact"/>
        <w:rPr>
          <w:rFonts w:ascii="Times New Roman" w:cs="Times New Roman" w:eastAsia="Times New Roman" w:hAnsi="Times New Roman"/>
          <w:sz w:val="22"/>
          <w:szCs w:val="22"/>
          <w:color w:val="auto"/>
        </w:rPr>
      </w:pPr>
    </w:p>
    <w:p>
      <w:pPr>
        <w:ind w:left="-440" w:right="20" w:firstLine="1505"/>
        <w:spacing w:after="0" w:line="232" w:lineRule="auto"/>
        <w:tabs>
          <w:tab w:leader="none" w:pos="159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It is intended that each installment of the payments and benefits provided for in this Agreements constitute a separate “payment” for purposes of Treasury Regulation Section 1.409A-2(b)(2)(i). For the avoidance of doubt, it is intended that payments of the amounts set forth in this Agreement satisfy, to the greatest extent possible, the exemptions from the application of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(Section 409A of the Code, together, with any state law of similar effect,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provided under Treasury Regulations 1.409A-1(b)(4), 1.409A-1(b)(5) and 1.409A-1(b)(9). However, if the Company (or, if applicable, the successor entity thereto) determines that the severance payments and benefits provided under this Agreement(the “</w:t>
      </w:r>
      <w:r>
        <w:rPr>
          <w:rFonts w:ascii="Times New Roman" w:cs="Times New Roman" w:eastAsia="Times New Roman" w:hAnsi="Times New Roman"/>
          <w:sz w:val="22"/>
          <w:szCs w:val="22"/>
          <w:u w:val="single" w:color="auto"/>
          <w:color w:val="auto"/>
        </w:rPr>
        <w:t>Agreement Payments</w:t>
      </w:r>
      <w:r>
        <w:rPr>
          <w:rFonts w:ascii="Times New Roman" w:cs="Times New Roman" w:eastAsia="Times New Roman" w:hAnsi="Times New Roman"/>
          <w:sz w:val="22"/>
          <w:szCs w:val="22"/>
          <w:color w:val="auto"/>
        </w:rPr>
        <w:t>”) constitute “deferred compensation” under Section 409A and Executive is, on the date of his or her Separation from Service, a “specified employee” of the Company or any successor entity thereto, as such term is defined in Section 409A(a)(2)(B)(i) of the Code (a “</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then, solely to the extent necessary to avoid the incurrence of the adverse personal tax consequences under Section 409A, the timing of the Severance Benefits described in Section 4(b) shall be delayed as follows: on the earlier to occur of (i) the date that is six months and one day after Executive’s Separation from Service or (ii) the date of Executive’s death (such earlier date, the “</w:t>
      </w:r>
      <w:r>
        <w:rPr>
          <w:rFonts w:ascii="Times New Roman" w:cs="Times New Roman" w:eastAsia="Times New Roman" w:hAnsi="Times New Roman"/>
          <w:sz w:val="22"/>
          <w:szCs w:val="22"/>
          <w:u w:val="single" w:color="auto"/>
          <w:color w:val="auto"/>
        </w:rPr>
        <w:t>Delayed Initial Payment Date</w:t>
      </w:r>
      <w:r>
        <w:rPr>
          <w:rFonts w:ascii="Times New Roman" w:cs="Times New Roman" w:eastAsia="Times New Roman" w:hAnsi="Times New Roman"/>
          <w:sz w:val="22"/>
          <w:szCs w:val="22"/>
          <w:color w:val="auto"/>
        </w:rPr>
        <w:t>”),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10(j). If a release revocation period spans two calendar years, then amounts will not be paid until the second of the two years to the extent necessary to avoid taxation under Section 409A.</w:t>
      </w:r>
    </w:p>
    <w:p>
      <w:pPr>
        <w:spacing w:after="0" w:line="189" w:lineRule="exact"/>
        <w:rPr>
          <w:rFonts w:ascii="Times New Roman" w:cs="Times New Roman" w:eastAsia="Times New Roman" w:hAnsi="Times New Roman"/>
          <w:sz w:val="22"/>
          <w:szCs w:val="22"/>
          <w:color w:val="auto"/>
        </w:rPr>
      </w:pPr>
    </w:p>
    <w:p>
      <w:pPr>
        <w:ind w:left="-440" w:right="640" w:firstLine="1505"/>
        <w:spacing w:after="0" w:line="258" w:lineRule="auto"/>
        <w:tabs>
          <w:tab w:leader="none" w:pos="159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Fees and Expenses</w:t>
      </w:r>
      <w:r>
        <w:rPr>
          <w:rFonts w:ascii="Times New Roman" w:cs="Times New Roman" w:eastAsia="Times New Roman" w:hAnsi="Times New Roman"/>
          <w:sz w:val="22"/>
          <w:szCs w:val="22"/>
          <w:color w:val="auto"/>
        </w:rPr>
        <w:t>. The parties shall each bear their own expenses, legal fees and other fees incurred in connection with the execution of this Agreement.</w:t>
      </w:r>
    </w:p>
    <w:p>
      <w:pPr>
        <w:spacing w:after="0" w:line="158" w:lineRule="exact"/>
        <w:rPr>
          <w:rFonts w:ascii="Times New Roman" w:cs="Times New Roman" w:eastAsia="Times New Roman" w:hAnsi="Times New Roman"/>
          <w:sz w:val="22"/>
          <w:szCs w:val="22"/>
          <w:color w:val="auto"/>
        </w:rPr>
      </w:pPr>
    </w:p>
    <w:p>
      <w:pPr>
        <w:ind w:left="-440" w:right="640" w:firstLine="1505"/>
        <w:spacing w:after="0" w:line="258" w:lineRule="auto"/>
        <w:tabs>
          <w:tab w:leader="none" w:pos="159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will constitute one and the same instrument.</w:t>
      </w:r>
    </w:p>
    <w:p>
      <w:pPr>
        <w:spacing w:after="0" w:line="3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563880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executed this Agreement as of the date first set forth above.</w:t>
      </w:r>
    </w:p>
    <w:p>
      <w:pPr>
        <w:sectPr>
          <w:pgSz w:w="11900" w:h="16838" w:orient="portrait"/>
          <w:cols w:equalWidth="0" w:num="1">
            <w:col w:w="10139"/>
          </w:cols>
          <w:pgMar w:left="320" w:top="1404"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3"/>
          <w:szCs w:val="23"/>
          <w:b w:val="1"/>
          <w:bCs w:val="1"/>
          <w:color w:val="auto"/>
        </w:rPr>
        <w:t>[EXECUTIVE NAME]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3"/>
          <w:szCs w:val="2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160655</wp:posOffset>
            </wp:positionV>
            <wp:extent cx="3683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3">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3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3"/>
          <w:szCs w:val="2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3"/>
          <w:szCs w:val="23"/>
          <w:b w:val="1"/>
          <w:bCs w:val="1"/>
          <w:color w:val="auto"/>
        </w:rPr>
        <w:t>KYNTRA BIO, INC.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3"/>
          <w:szCs w:val="23"/>
          <w:color w:val="auto"/>
        </w:rPr>
        <w:t>By:</w:t>
      </w: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3"/>
          <w:szCs w:val="23"/>
          <w:color w:val="auto"/>
        </w:rPr>
        <w:t>Name:</w:t>
      </w: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3"/>
          <w:szCs w:val="23"/>
          <w:color w:val="auto"/>
        </w:rPr>
        <w:t>Title:</w:t>
      </w: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3"/>
          <w:szCs w:val="2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type w:val="continuous"/>
        </w:sectPr>
      </w:pPr>
    </w:p>
    <w:bookmarkStart w:id="279" w:name="page280"/>
    <w:bookmarkEnd w:id="279"/>
    <w:p>
      <w:pPr>
        <w:jc w:val="right"/>
        <w:spacing w:after="0"/>
        <w:rPr>
          <w:sz w:val="20"/>
          <w:szCs w:val="20"/>
          <w:color w:val="auto"/>
        </w:rPr>
      </w:pPr>
      <w:r>
        <w:rPr>
          <w:rFonts w:ascii="Times New Roman" w:cs="Times New Roman" w:eastAsia="Times New Roman" w:hAnsi="Times New Roman"/>
          <w:sz w:val="20"/>
          <w:szCs w:val="20"/>
          <w:b w:val="1"/>
          <w:bCs w:val="1"/>
          <w:color w:val="auto"/>
        </w:rPr>
        <w:t>Exhibit 19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 and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indow</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Amended and Restated as of November 2021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ame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hange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pproved by</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oard on</w:t>
      </w:r>
      <w:r>
        <w:rPr>
          <w:rFonts w:ascii="Times New Roman" w:cs="Times New Roman" w:eastAsia="Times New Roman" w:hAnsi="Times New Roman"/>
          <w:sz w:val="22"/>
          <w:szCs w:val="22"/>
          <w:color w:val="auto"/>
        </w:rPr>
        <w:t>: D</w:t>
      </w:r>
      <w:r>
        <w:rPr>
          <w:rFonts w:ascii="Times New Roman" w:cs="Times New Roman" w:eastAsia="Times New Roman" w:hAnsi="Times New Roman"/>
          <w:sz w:val="14"/>
          <w:szCs w:val="14"/>
          <w:color w:val="auto"/>
        </w:rPr>
        <w:t>ecember</w:t>
      </w:r>
      <w:r>
        <w:rPr>
          <w:rFonts w:ascii="Times New Roman" w:cs="Times New Roman" w:eastAsia="Times New Roman" w:hAnsi="Times New Roman"/>
          <w:sz w:val="22"/>
          <w:szCs w:val="22"/>
          <w:color w:val="auto"/>
        </w:rPr>
        <w:t xml:space="preserve"> 19, 2025</w:t>
      </w:r>
    </w:p>
    <w:p>
      <w:pPr>
        <w:spacing w:after="0" w:line="200" w:lineRule="exact"/>
        <w:rPr>
          <w:sz w:val="20"/>
          <w:szCs w:val="20"/>
          <w:color w:val="auto"/>
        </w:rPr>
      </w:pPr>
    </w:p>
    <w:p>
      <w:pPr>
        <w:spacing w:after="0" w:line="2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Because our stock is publicly traded, you must comply with the provisions of U.S. federal and state securities laws and our policies.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course of your relationship with Kyntra Bio, Inc. (“</w:t>
      </w:r>
      <w:r>
        <w:rPr>
          <w:rFonts w:ascii="Times New Roman" w:cs="Times New Roman" w:eastAsia="Times New Roman" w:hAnsi="Times New Roman"/>
          <w:sz w:val="20"/>
          <w:szCs w:val="20"/>
          <w:b w:val="1"/>
          <w:bCs w:val="1"/>
          <w:i w:val="1"/>
          <w:iCs w:val="1"/>
          <w:color w:val="auto"/>
        </w:rPr>
        <w:t>Kyntra Bio</w:t>
      </w:r>
      <w:r>
        <w:rPr>
          <w:rFonts w:ascii="Times New Roman" w:cs="Times New Roman" w:eastAsia="Times New Roman" w:hAnsi="Times New Roman"/>
          <w:sz w:val="20"/>
          <w:szCs w:val="20"/>
          <w:color w:val="auto"/>
        </w:rPr>
        <w:t>”), you will learn information about us that is not publicly known.</w:t>
      </w:r>
    </w:p>
    <w:p>
      <w:pPr>
        <w:spacing w:after="0" w:line="246" w:lineRule="auto"/>
        <w:rPr>
          <w:sz w:val="20"/>
          <w:szCs w:val="20"/>
          <w:color w:val="auto"/>
        </w:rPr>
      </w:pPr>
      <w:r>
        <w:rPr>
          <w:rFonts w:ascii="Times New Roman" w:cs="Times New Roman" w:eastAsia="Times New Roman" w:hAnsi="Times New Roman"/>
          <w:sz w:val="20"/>
          <w:szCs w:val="20"/>
          <w:b w:val="1"/>
          <w:bCs w:val="1"/>
          <w:color w:val="auto"/>
        </w:rPr>
        <w:t>It is illegal for you to buy or sell our stock or the stock of companies working with Kyntra Bio on the basis of material, non-public information. It is also illegal for you to pass such information on to others who use it to buy or sell our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overed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ersons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applies to all directors, officers, employees, consultants, and contractors of Kyntra Bio. This policy also applies to all family members and other household members of those covered by this policy and all companies controlled by those covered by this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tatement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prohibits not only illegal activities but also other trading activities that may not be illegal. These additional restrictions are designed to protect both you and us from even the appearance of improper activity. Our policy is as follows:</w:t>
      </w:r>
    </w:p>
    <w:p>
      <w:pPr>
        <w:spacing w:after="0" w:line="155" w:lineRule="exact"/>
        <w:rPr>
          <w:sz w:val="20"/>
          <w:szCs w:val="20"/>
          <w:color w:val="auto"/>
        </w:rPr>
      </w:pPr>
    </w:p>
    <w:p>
      <w:pPr>
        <w:jc w:val="both"/>
        <w:ind w:left="760" w:hanging="752"/>
        <w:spacing w:after="0" w:line="243" w:lineRule="auto"/>
        <w:tabs>
          <w:tab w:leader="none" w:pos="760" w:val="left"/>
        </w:tabs>
        <w:numPr>
          <w:ilvl w:val="0"/>
          <w:numId w:val="3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You may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trade our stock while you possess information about Kyntra Bio that is both material and non-public. Material information is information that a reasonable person would consider important in deciding whether to buy or sell our stock. For example, material information may include (but is not limited to) financial results, merger or acquisition news, regulatory approval, clinical data, joint venture developments, litigation filings or results, governmental actions, or key personnel hires or departures. Non-public information is information that has not been announced publicly, such as by press release, conference call, public filing, or similar means of public dissemination. You must wait until after two full trading days have elapsed after the information is publicly announced before you can trade. For the purposes of this policy, one “full trading day” is the entire period of time, during a calendar day, in which the stock exchange (on which Kyntra Bio’s capital stock is then listed) is open for trading. For example, if the information is publicly announced late on a Tuesday, you cannot trade until Friday. In addition, you are not allowed to buy or sell stock during any “blackout” period announced by Kyntra Bio.</w:t>
      </w:r>
    </w:p>
    <w:p>
      <w:pPr>
        <w:spacing w:after="0" w:line="186" w:lineRule="exact"/>
        <w:rPr>
          <w:rFonts w:ascii="Times New Roman" w:cs="Times New Roman" w:eastAsia="Times New Roman" w:hAnsi="Times New Roman"/>
          <w:sz w:val="20"/>
          <w:szCs w:val="20"/>
          <w:b w:val="1"/>
          <w:bCs w:val="1"/>
          <w:color w:val="auto"/>
        </w:rPr>
      </w:pPr>
    </w:p>
    <w:p>
      <w:pPr>
        <w:jc w:val="both"/>
        <w:ind w:left="760" w:hanging="752"/>
        <w:spacing w:after="0" w:line="249" w:lineRule="auto"/>
        <w:tabs>
          <w:tab w:leader="none" w:pos="760" w:val="left"/>
        </w:tabs>
        <w:numPr>
          <w:ilvl w:val="0"/>
          <w:numId w:val="3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discuss material, non-public information about Kyntra Bio with anyone outside Kyntra Bio. This prohibition covers spouses, family members, friends, business associates, or persons with whom we are doing business (except to the extent that such persons are covered by a non-disclosure agreement and the discussion is necessary to accomplish a business purpose of Kyntra Bio).</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0" w:name="page281"/>
    <w:bookmarkEnd w:id="280"/>
    <w:p>
      <w:pPr>
        <w:jc w:val="both"/>
        <w:ind w:left="760" w:hanging="752"/>
        <w:spacing w:after="0" w:line="242" w:lineRule="auto"/>
        <w:tabs>
          <w:tab w:leader="none" w:pos="760"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You may buy or sell our stock only when the trading window period is open and when you do not possess material, non-public information about Kyntra Bio. If you are a Kyntra Bio director, officer, or employee with a title of Executive Director or higher, or are otherwise so informed by Kyntra Bio, you must also receive approval prior to engaging in transactions in Kyntra Bio’s stock, as described in paragraph 4 below. Trading window periods are those periods of time during which directors, officers, employees, contractors, and consultants can potentially trade our stock, so long as they are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in possession of material, non-public information. At these times, the “window” is said to be “open.” Our “window period” opens after two full trading days have elapsed after the public dissemination of Kyntra Bio’s annual or quarterly financial results and closes after the last trading day of the quarter. In addition, from time to time we may inform personnel that the window is “closed.” This type of announcement is generally made via email. You may not trade when the trading window is closed, even if you don’t possess any material, non-public information.</w:t>
      </w:r>
    </w:p>
    <w:p>
      <w:pPr>
        <w:spacing w:after="0" w:line="192" w:lineRule="exact"/>
        <w:rPr>
          <w:rFonts w:ascii="Times New Roman" w:cs="Times New Roman" w:eastAsia="Times New Roman" w:hAnsi="Times New Roman"/>
          <w:sz w:val="20"/>
          <w:szCs w:val="20"/>
          <w:b w:val="1"/>
          <w:bCs w:val="1"/>
          <w:color w:val="auto"/>
        </w:rPr>
      </w:pPr>
    </w:p>
    <w:p>
      <w:pPr>
        <w:jc w:val="both"/>
        <w:ind w:left="760" w:hanging="752"/>
        <w:spacing w:after="0" w:line="241" w:lineRule="auto"/>
        <w:tabs>
          <w:tab w:leader="none" w:pos="760"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addition to the requirements of paragraph 3 above, if you are a Kyntra Bio director, officer, or employee with a title of Executive Director or higher, or are otherwise so informed by Kyntra Bio, you may not engage in any transaction in Kyntra Bio’s securities, including any purchase or sale in the open market or other transfer of beneficial ownership, but not including an exercise of options (which does not include a simultaneous sale of stock or cancellation of options), without first obtaining pre-clearance of the transaction from the head of Legal (a “Clearing Officer.”) Furthermore, no person subject to this policy may hold Kyntra Bio securities in a margin account or engage in any transaction in Kyntra Bio securities that would constitute a loan or pledge without first obtaining pre-clearance of the transaction from a Clearing Officer. In the event that a Clearing Officer is unable or unavailable to act in this capacity, the responsibility may be temporarily delegated to another senior person in legal or finance designated in writing by such Clearing Officer</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You must submit your transaction(s) for pre-clearance at least two full trading days in advance of the proposed transaction. The Clearing Officer or his delegate will then determine whether the transaction may proceed and the time period for which such pre-clearance applies, and, if required, will coordinate Kyntra Bio’s assistance in complying with the reporting requirements under Section 16(a) of the Exchange Act, if any, in compliance with any Section 16 policy that Kyntra Bio has in place at that time. Pre-cleared transaction(s) not completed prior to pre-clearance expiration must be canceled and new pre-clearance shall be required to subsequently complete such transaction(s) under the provisions of this paragraph. Kyntra Bio may, at its discretion, shorten such period of time.</w:t>
      </w:r>
    </w:p>
    <w:p>
      <w:pPr>
        <w:spacing w:after="0" w:line="194" w:lineRule="exact"/>
        <w:rPr>
          <w:rFonts w:ascii="Times New Roman" w:cs="Times New Roman" w:eastAsia="Times New Roman" w:hAnsi="Times New Roman"/>
          <w:sz w:val="20"/>
          <w:szCs w:val="20"/>
          <w:b w:val="1"/>
          <w:bCs w:val="1"/>
          <w:color w:val="auto"/>
        </w:rPr>
      </w:pPr>
    </w:p>
    <w:p>
      <w:pPr>
        <w:jc w:val="both"/>
        <w:ind w:left="760" w:hanging="752"/>
        <w:spacing w:after="0" w:line="249" w:lineRule="auto"/>
        <w:tabs>
          <w:tab w:leader="none" w:pos="760"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trade derivative securities of Kyntra Bio at any time. 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p>
    <w:p>
      <w:pPr>
        <w:spacing w:after="0" w:line="179" w:lineRule="exact"/>
        <w:rPr>
          <w:rFonts w:ascii="Times New Roman" w:cs="Times New Roman" w:eastAsia="Times New Roman" w:hAnsi="Times New Roman"/>
          <w:sz w:val="20"/>
          <w:szCs w:val="20"/>
          <w:b w:val="1"/>
          <w:bCs w:val="1"/>
          <w:color w:val="auto"/>
        </w:rPr>
      </w:pPr>
    </w:p>
    <w:p>
      <w:pPr>
        <w:jc w:val="both"/>
        <w:ind w:left="760" w:hanging="752"/>
        <w:spacing w:after="0" w:line="263" w:lineRule="auto"/>
        <w:tabs>
          <w:tab w:leader="none" w:pos="760" w:val="left"/>
        </w:tabs>
        <w:numPr>
          <w:ilvl w:val="0"/>
          <w:numId w:val="3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Notwithstanding Section 4 of this policy, you may not engage in hedging or short selling of our securities. Selling short includes transactions in which you borrow stock from a broker, sell it, and eventually buy it back on the market to return the borrowed shares to the broker. Profit is made through the expectation that the stock price will decrease during the period of borrowing. Purchasing our securities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66" w:lineRule="exact"/>
        <w:rPr>
          <w:rFonts w:ascii="Times New Roman" w:cs="Times New Roman" w:eastAsia="Times New Roman" w:hAnsi="Times New Roman"/>
          <w:sz w:val="19"/>
          <w:szCs w:val="19"/>
          <w:b w:val="1"/>
          <w:bCs w:val="1"/>
          <w:color w:val="auto"/>
        </w:rPr>
      </w:pPr>
    </w:p>
    <w:p>
      <w:pPr>
        <w:jc w:val="both"/>
        <w:ind w:left="760" w:hanging="752"/>
        <w:spacing w:after="0" w:line="254" w:lineRule="auto"/>
        <w:tabs>
          <w:tab w:leader="none" w:pos="760"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participate in “chat rooms” or other electronic discussion groups or contribute to blogs, bulletin boards, or social media forums on the Internet concerning the activities of Kyntra Bio or other companies with which Kyntra Bio does business, even if you do so anonymously,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1" w:name="page282"/>
    <w:bookmarkEnd w:id="281"/>
    <w:p>
      <w:pPr>
        <w:ind w:left="760"/>
        <w:spacing w:after="0" w:line="269" w:lineRule="auto"/>
        <w:rPr>
          <w:sz w:val="20"/>
          <w:szCs w:val="20"/>
          <w:color w:val="auto"/>
        </w:rPr>
      </w:pPr>
      <w:r>
        <w:rPr>
          <w:rFonts w:ascii="Times New Roman" w:cs="Times New Roman" w:eastAsia="Times New Roman" w:hAnsi="Times New Roman"/>
          <w:sz w:val="20"/>
          <w:szCs w:val="20"/>
          <w:color w:val="auto"/>
        </w:rPr>
        <w:t>unless doing so is part of your job responsibilities and you have explicit authorization from the Legal department and Finance department.</w:t>
      </w:r>
    </w:p>
    <w:p>
      <w:pPr>
        <w:spacing w:after="0" w:line="159" w:lineRule="exact"/>
        <w:rPr>
          <w:sz w:val="20"/>
          <w:szCs w:val="20"/>
          <w:color w:val="auto"/>
        </w:rPr>
      </w:pPr>
    </w:p>
    <w:p>
      <w:pPr>
        <w:ind w:left="760" w:hanging="752"/>
        <w:spacing w:after="0"/>
        <w:tabs>
          <w:tab w:leader="none" w:pos="760" w:val="left"/>
        </w:tabs>
        <w:numPr>
          <w:ilvl w:val="0"/>
          <w:numId w:val="3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never recommend to another person that he or she buy, hold, or sell our stock.</w:t>
      </w:r>
    </w:p>
    <w:p>
      <w:pPr>
        <w:spacing w:after="0" w:line="215" w:lineRule="exact"/>
        <w:rPr>
          <w:rFonts w:ascii="Times New Roman" w:cs="Times New Roman" w:eastAsia="Times New Roman" w:hAnsi="Times New Roman"/>
          <w:sz w:val="20"/>
          <w:szCs w:val="20"/>
          <w:b w:val="1"/>
          <w:bCs w:val="1"/>
          <w:color w:val="auto"/>
        </w:rPr>
      </w:pPr>
    </w:p>
    <w:p>
      <w:pPr>
        <w:ind w:left="760" w:right="20" w:hanging="752"/>
        <w:spacing w:after="0" w:line="269" w:lineRule="auto"/>
        <w:tabs>
          <w:tab w:leader="none" w:pos="760" w:val="left"/>
        </w:tabs>
        <w:numPr>
          <w:ilvl w:val="0"/>
          <w:numId w:val="3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restrictions above also apply to transactions in the stock of other companies, to the extent you have learned material, non-public information about these companies as a result of your role with Kyntra Bio.</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The only exceptions to this policy are specifically noted below. Trading activities that may be necessary or justifiable for independent reasons (such as the need to raise money for an emergency expenditure) or that are small transactions are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exempted from this policy. The insider trading laws do not recognize any mitigating circumstances and, in any event, even the appearance of an improper transaction must be avoided to preserve our reputation for adhering to the highest standards of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ule</w:t>
      </w:r>
      <w:r>
        <w:rPr>
          <w:rFonts w:ascii="Times New Roman" w:cs="Times New Roman" w:eastAsia="Times New Roman" w:hAnsi="Times New Roman"/>
          <w:sz w:val="20"/>
          <w:szCs w:val="20"/>
          <w:b w:val="1"/>
          <w:bCs w:val="1"/>
          <w:color w:val="auto"/>
        </w:rPr>
        <w:t xml:space="preserve"> 10</w:t>
      </w:r>
      <w:r>
        <w:rPr>
          <w:rFonts w:ascii="Times New Roman" w:cs="Times New Roman" w:eastAsia="Times New Roman" w:hAnsi="Times New Roman"/>
          <w:sz w:val="13"/>
          <w:szCs w:val="13"/>
          <w:b w:val="1"/>
          <w:bCs w:val="1"/>
          <w:color w:val="auto"/>
        </w:rPr>
        <w:t>b</w:t>
      </w:r>
      <w:r>
        <w:rPr>
          <w:rFonts w:ascii="Times New Roman" w:cs="Times New Roman" w:eastAsia="Times New Roman" w:hAnsi="Times New Roman"/>
          <w:sz w:val="20"/>
          <w:szCs w:val="20"/>
          <w:b w:val="1"/>
          <w:bCs w:val="1"/>
          <w:color w:val="auto"/>
        </w:rPr>
        <w:t>5-1 P</w:t>
      </w:r>
      <w:r>
        <w:rPr>
          <w:rFonts w:ascii="Times New Roman" w:cs="Times New Roman" w:eastAsia="Times New Roman" w:hAnsi="Times New Roman"/>
          <w:sz w:val="13"/>
          <w:szCs w:val="13"/>
          <w:b w:val="1"/>
          <w:bCs w:val="1"/>
          <w:color w:val="auto"/>
        </w:rPr>
        <w:t>lans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Notwithstanding the prohibitions above, directors, officers, and employees may establish written programs pursuant to Rule 10b5-1(c) of the Securities Exchange Act of 1934, which permit (a) automatic trading of our stock according to set criteria or (b) trading of our stock by an independent person (such as an investment bank) who is not aware of material, non-public information. So long as the program is properly established, trading pursuant to a program may occur even at a time outside of our “window period” or when the plan participant is aware of material, non-public information. Each form of the program must be reviewed and approved by the Legal department and Finance department on behalf of Kyntra Bio, solely to confirm compliance with the guidelines set forth herein. Kyntra Bio will not review or pre-approve the trading specifics of any program, only the form of the program itself. These programs may only be established and subsequently amended at a time when the plan participant is not aware of material, non-public information.</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Once the program is prepared and becomes effective, it cannot be changed or deviated from except (a) with notice to our Legal department and Finance department, (b) in full compliance with the requirements of the program guidelines, and (c) at a time when the plan participant is permitted to trade in our stock under the guidelines set forth herein. Furthermore, at the discretion of Kyntra Bio, the terms of such a program may be disclosed to the public through a press release, by placement on our website, or through other means to be determined by Kyntra Bio.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onsequences of</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3"/>
          <w:szCs w:val="13"/>
          <w:b w:val="1"/>
          <w:bCs w:val="1"/>
          <w:color w:val="auto"/>
        </w:rPr>
        <w:t>iolations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Violations of either the insider trading laws or this policy are extremely serious matters. The U.S. Securities and Exchange Commission and the stock exchanges monitor stock trading and routinely investigate suspicious activity. The penalties for violating the insider trading laws are severe (including fines and imprisonment), and even having to respond to an investigation can result in significant legal expenses and unwanted negative publicity for both you and Kyntra Bio.</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addition, violation of this policy may result in severe personnel action, up to and including termination of your employment or other relationship with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dditional</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 and</w:t>
      </w:r>
      <w:r>
        <w:rPr>
          <w:rFonts w:ascii="Times New Roman" w:cs="Times New Roman" w:eastAsia="Times New Roman" w:hAnsi="Times New Roman"/>
          <w:sz w:val="20"/>
          <w:szCs w:val="20"/>
          <w:b w:val="1"/>
          <w:bCs w:val="1"/>
          <w:color w:val="auto"/>
        </w:rPr>
        <w:t xml:space="preserve"> Q</w:t>
      </w:r>
      <w:r>
        <w:rPr>
          <w:rFonts w:ascii="Times New Roman" w:cs="Times New Roman" w:eastAsia="Times New Roman" w:hAnsi="Times New Roman"/>
          <w:sz w:val="13"/>
          <w:szCs w:val="13"/>
          <w:b w:val="1"/>
          <w:bCs w:val="1"/>
          <w:color w:val="auto"/>
        </w:rPr>
        <w:t>uestions</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If you have any questions about any aspect of this policy, you are encouraged to contact our head of Legal. You may also refer to the “Frequently Asked Questions” attached to this policy.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20"/>
          <w:szCs w:val="20"/>
          <w:b w:val="1"/>
          <w:bCs w:val="1"/>
          <w:color w:val="auto"/>
        </w:rPr>
        <w:t>KYNTRA BIO,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 and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indow</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Frequently Asked Questions</w:t>
      </w:r>
    </w:p>
    <w:p>
      <w:pPr>
        <w:spacing w:after="0" w:line="216" w:lineRule="exact"/>
        <w:rPr>
          <w:sz w:val="20"/>
          <w:szCs w:val="20"/>
          <w:color w:val="auto"/>
        </w:rPr>
      </w:pPr>
    </w:p>
    <w:p>
      <w:pPr>
        <w:ind w:left="520" w:hanging="512"/>
        <w:spacing w:after="0"/>
        <w:tabs>
          <w:tab w:leader="none" w:pos="520"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insider trading?</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49" w:lineRule="auto"/>
        <w:tabs>
          <w:tab w:leader="none" w:pos="1045" w:val="left"/>
        </w:tabs>
        <w:numPr>
          <w:ilvl w:val="1"/>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Insider trading is the buying or selling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or sell, or whether it has an effect on the stock price – if you have material, nonpublic information and you trade, you have broken the law.</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is insider trading illegal?</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54" w:lineRule="auto"/>
        <w:tabs>
          <w:tab w:leader="none" w:pos="1032" w:val="left"/>
        </w:tabs>
        <w:numPr>
          <w:ilvl w:val="1"/>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material, nonpublic information?</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54" w:lineRule="auto"/>
        <w:tabs>
          <w:tab w:leader="none" w:pos="1018" w:val="left"/>
        </w:tabs>
        <w:numPr>
          <w:ilvl w:val="1"/>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Information is material if it would influence a reasonable investor to buy or sell a stock, bond, or other security. This could mean many things – financial results, potential mergers, major contracts, etc. Information is nonpublic if it has not yet been released and disseminated to the public.</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Who can be guilty of insider trading?</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54" w:lineRule="auto"/>
        <w:tabs>
          <w:tab w:leader="none" w:pos="1018" w:val="left"/>
        </w:tabs>
        <w:numPr>
          <w:ilvl w:val="1"/>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Anyone who buys or sells a security while in possession of material, nonpublic information. It does not matter if you are not an executive officer or director, or even if you do not work at Kyntra Bio; if you know something material about the value of a security that not everyone else knows, regardless of who you are, you can be found guilty of insider trading.</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Does Kyntra Bio have an insider trading policy?</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The policy is attached to this FAQ.</w:t>
      </w:r>
    </w:p>
    <w:p>
      <w:pPr>
        <w:spacing w:after="0" w:line="21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work in a foreign office?</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45" w:lineRule="auto"/>
        <w:tabs>
          <w:tab w:leader="none" w:pos="1018" w:val="left"/>
        </w:tabs>
        <w:numPr>
          <w:ilvl w:val="1"/>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no difference. The Insider Trading and Trading Window Policy and the law apply to you. Because our common stock trades on a United States securities exchange,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company’s securities conducted by internationally-based individuals and firms. In addition, as a Kyntra Bio employee, our policies apply to you no matter where in the world you work.</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don’t buy or sell anything, but I tell someone else the information and they buy or sell?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3" w:name="page284"/>
    <w:bookmarkEnd w:id="283"/>
    <w:p>
      <w:pPr>
        <w:jc w:val="both"/>
        <w:ind w:left="760" w:hanging="3"/>
        <w:spacing w:after="0" w:line="245" w:lineRule="auto"/>
        <w:tabs>
          <w:tab w:leader="none" w:pos="1018" w:val="left"/>
        </w:tabs>
        <w:numPr>
          <w:ilvl w:val="1"/>
          <w:numId w:val="3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As a result, you may not discuss material, non-public information about Kyntra Bio with anyone outside Kyntra Bio, including spouses, family members, friends, or business associates. This includes anonymous discussions on the Internet about Kyntra Bio or companies with which Kyntra Bio does business.</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don’t tell them the information itself, but I just tell them whether they should buy or sell?</w:t>
      </w:r>
    </w:p>
    <w:p>
      <w:pPr>
        <w:spacing w:after="0" w:line="219" w:lineRule="exact"/>
        <w:rPr>
          <w:rFonts w:ascii="Times New Roman" w:cs="Times New Roman" w:eastAsia="Times New Roman" w:hAnsi="Times New Roman"/>
          <w:sz w:val="20"/>
          <w:szCs w:val="20"/>
          <w:b w:val="1"/>
          <w:bCs w:val="1"/>
          <w:color w:val="auto"/>
        </w:rPr>
      </w:pPr>
    </w:p>
    <w:p>
      <w:pPr>
        <w:ind w:left="760" w:hanging="3"/>
        <w:spacing w:after="0" w:line="269" w:lineRule="auto"/>
        <w:tabs>
          <w:tab w:leader="none" w:pos="1018" w:val="left"/>
        </w:tabs>
        <w:numPr>
          <w:ilvl w:val="1"/>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That is still tipping, and you can still be found guilty of insider trading. According to our policies, you may never recommend to another person that they buy, hold, or sell our common stock or any derivative security related to our common stock.</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are the penalties if I trade on inside information or tip off someone else?</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46" w:lineRule="auto"/>
        <w:tabs>
          <w:tab w:leader="none" w:pos="1018" w:val="left"/>
        </w:tabs>
        <w:numPr>
          <w:ilvl w:val="1"/>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Anyone found liable in a civil case for trading on inside information may need to pay the U.S. government an amount equal to any profit made or any loss avoided and may also face a penalty of up to three times this amount. Persons found liable for tipping inside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spacing w:after="0" w:line="18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“loss avoided?”</w:t>
      </w:r>
    </w:p>
    <w:p>
      <w:pPr>
        <w:spacing w:after="0" w:line="219" w:lineRule="exact"/>
        <w:rPr>
          <w:rFonts w:ascii="Times New Roman" w:cs="Times New Roman" w:eastAsia="Times New Roman" w:hAnsi="Times New Roman"/>
          <w:sz w:val="20"/>
          <w:szCs w:val="20"/>
          <w:b w:val="1"/>
          <w:bCs w:val="1"/>
          <w:color w:val="auto"/>
        </w:rPr>
      </w:pPr>
    </w:p>
    <w:p>
      <w:pPr>
        <w:ind w:left="760" w:right="20" w:hanging="3"/>
        <w:spacing w:after="0" w:line="269" w:lineRule="auto"/>
        <w:tabs>
          <w:tab w:leader="none" w:pos="1018" w:val="left"/>
        </w:tabs>
        <w:numPr>
          <w:ilvl w:val="1"/>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 sell a common stock or related derivative security before the negative news is publicly announced and as a result of the announcement, the stock price declines, you have avoided the loss caused by the negative news.</w:t>
      </w:r>
    </w:p>
    <w:p>
      <w:pPr>
        <w:spacing w:after="0" w:line="155" w:lineRule="exact"/>
        <w:rPr>
          <w:rFonts w:ascii="Times New Roman" w:cs="Times New Roman" w:eastAsia="Times New Roman" w:hAnsi="Times New Roman"/>
          <w:sz w:val="20"/>
          <w:szCs w:val="20"/>
          <w:b w:val="1"/>
          <w:bCs w:val="1"/>
          <w:color w:val="auto"/>
        </w:rPr>
      </w:pPr>
    </w:p>
    <w:p>
      <w:pPr>
        <w:ind w:left="760" w:hanging="752"/>
        <w:spacing w:after="0" w:line="273" w:lineRule="auto"/>
        <w:tabs>
          <w:tab w:leader="none" w:pos="760"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restricted from trading securities of any companies except Kyntra Bio (for example a customer or competitor of Kyntra Bio)?</w:t>
      </w:r>
    </w:p>
    <w:p>
      <w:pPr>
        <w:spacing w:after="0" w:line="155" w:lineRule="exact"/>
        <w:rPr>
          <w:rFonts w:ascii="Times New Roman" w:cs="Times New Roman" w:eastAsia="Times New Roman" w:hAnsi="Times New Roman"/>
          <w:sz w:val="20"/>
          <w:szCs w:val="20"/>
          <w:b w:val="1"/>
          <w:bCs w:val="1"/>
          <w:color w:val="auto"/>
        </w:rPr>
      </w:pPr>
    </w:p>
    <w:p>
      <w:pPr>
        <w:jc w:val="both"/>
        <w:ind w:left="760" w:hanging="3"/>
        <w:spacing w:after="0" w:line="246" w:lineRule="auto"/>
        <w:tabs>
          <w:tab w:leader="none" w:pos="1018" w:val="left"/>
        </w:tabs>
        <w:numPr>
          <w:ilvl w:val="1"/>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You should be particularly conscious of this restriction if, through your position at Kyntra Bio, you sometimes obtain sensitive, material information about other companies and their business dealings with Kyntra Bio.</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line="273" w:lineRule="auto"/>
        <w:tabs>
          <w:tab w:leader="none" w:pos="760"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So if I don’t trade Kyntra Bio securities when I have material, nonpublic information, and I don’t “tip” other people, I am in the clear, right?</w:t>
      </w:r>
    </w:p>
    <w:p>
      <w:pPr>
        <w:spacing w:after="0" w:line="155" w:lineRule="exact"/>
        <w:rPr>
          <w:rFonts w:ascii="Times New Roman" w:cs="Times New Roman" w:eastAsia="Times New Roman" w:hAnsi="Times New Roman"/>
          <w:sz w:val="20"/>
          <w:szCs w:val="20"/>
          <w:b w:val="1"/>
          <w:bCs w:val="1"/>
          <w:color w:val="auto"/>
        </w:rPr>
      </w:pPr>
    </w:p>
    <w:p>
      <w:pPr>
        <w:jc w:val="both"/>
        <w:ind w:left="760" w:hanging="3"/>
        <w:spacing w:after="0" w:line="254" w:lineRule="auto"/>
        <w:tabs>
          <w:tab w:leader="none" w:pos="1032" w:val="left"/>
        </w:tabs>
        <w:numPr>
          <w:ilvl w:val="1"/>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necessarily. Even if you do not violate U.S. law, you may still violate our policies. Our policies are stricter than the law requires so that we and our employees can avoid even the appearance of wrongdoing. Therefore, please review the entire policy carefully.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4" w:name="page285"/>
    <w:bookmarkEnd w:id="284"/>
    <w:p>
      <w:pPr>
        <w:ind w:left="760" w:hanging="752"/>
        <w:spacing w:after="0" w:line="273" w:lineRule="auto"/>
        <w:tabs>
          <w:tab w:leader="none" w:pos="760" w:val="left"/>
        </w:tabs>
        <w:numPr>
          <w:ilvl w:val="0"/>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If I am aware of new product or service developments that have not been announced to the public, do I possess material, non-public information?</w:t>
      </w:r>
    </w:p>
    <w:p>
      <w:pPr>
        <w:spacing w:after="0" w:line="155" w:lineRule="exact"/>
        <w:rPr>
          <w:rFonts w:ascii="Times New Roman" w:cs="Times New Roman" w:eastAsia="Times New Roman" w:hAnsi="Times New Roman"/>
          <w:sz w:val="20"/>
          <w:szCs w:val="20"/>
          <w:b w:val="1"/>
          <w:bCs w:val="1"/>
          <w:color w:val="auto"/>
        </w:rPr>
      </w:pPr>
    </w:p>
    <w:p>
      <w:pPr>
        <w:jc w:val="both"/>
        <w:ind w:left="760" w:hanging="3"/>
        <w:spacing w:after="0" w:line="246" w:lineRule="auto"/>
        <w:tabs>
          <w:tab w:leader="none" w:pos="1032" w:val="left"/>
        </w:tabs>
        <w:numPr>
          <w:ilvl w:val="1"/>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most circumstances, Kyntra Bio does not consider new product and service developments to be material information that would require the closing of the trading window with respect to those individuals who are aware of these developments. However, there are circumstances where a new product or service in development or issues with respect to current or past products or services could be so significant that it constitutes material, non-public information. In these circumstances, you will be notified by email if the trading window is closed for you.</w:t>
      </w:r>
    </w:p>
    <w:p>
      <w:pPr>
        <w:spacing w:after="0" w:line="18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So when can I buy or sell my Kyntra Bio securities?</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49" w:lineRule="auto"/>
        <w:tabs>
          <w:tab w:leader="none" w:pos="1018" w:val="left"/>
        </w:tabs>
        <w:numPr>
          <w:ilvl w:val="1"/>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According to our policies, if you have material, nonpublic information, you may not buy or sell our common stock until the third trading day after that information is released or announced to the public. At that point, the information is considered public. </w:t>
      </w:r>
      <w:r>
        <w:rPr>
          <w:rFonts w:ascii="Times New Roman" w:cs="Times New Roman" w:eastAsia="Times New Roman" w:hAnsi="Times New Roman"/>
          <w:sz w:val="20"/>
          <w:szCs w:val="20"/>
          <w:b w:val="1"/>
          <w:bCs w:val="1"/>
          <w:u w:val="single" w:color="auto"/>
          <w:color w:val="auto"/>
        </w:rPr>
        <w:t>Even 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you do not have material, nonpublic information</w:t>
      </w:r>
      <w:r>
        <w:rPr>
          <w:rFonts w:ascii="Times New Roman" w:cs="Times New Roman" w:eastAsia="Times New Roman" w:hAnsi="Times New Roman"/>
          <w:sz w:val="20"/>
          <w:szCs w:val="20"/>
          <w:b w:val="1"/>
          <w:bCs w:val="1"/>
          <w:color w:val="auto"/>
        </w:rPr>
        <w:t>, you may not trade in our common stock during any trading “blackout” period</w:t>
      </w:r>
      <w:r>
        <w:rPr>
          <w:rFonts w:ascii="Times New Roman" w:cs="Times New Roman" w:eastAsia="Times New Roman" w:hAnsi="Times New Roman"/>
          <w:sz w:val="20"/>
          <w:szCs w:val="20"/>
          <w:color w:val="auto"/>
        </w:rPr>
        <w:t>. Trading blackout periods may be announced by email.</w:t>
      </w:r>
    </w:p>
    <w:p>
      <w:pPr>
        <w:spacing w:after="0" w:line="175" w:lineRule="exact"/>
        <w:rPr>
          <w:rFonts w:ascii="Times New Roman" w:cs="Times New Roman" w:eastAsia="Times New Roman" w:hAnsi="Times New Roman"/>
          <w:sz w:val="20"/>
          <w:szCs w:val="20"/>
          <w:b w:val="1"/>
          <w:bCs w:val="1"/>
          <w:color w:val="auto"/>
        </w:rPr>
      </w:pPr>
    </w:p>
    <w:p>
      <w:pPr>
        <w:ind w:left="760" w:hanging="752"/>
        <w:spacing w:after="0" w:line="273" w:lineRule="auto"/>
        <w:tabs>
          <w:tab w:leader="none" w:pos="760" w:val="left"/>
        </w:tabs>
        <w:numPr>
          <w:ilvl w:val="0"/>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steps do I need to follow before engaging in any transaction in Kyntra Bio securities if I am an officer, director, or employee of Kyntra Bio?</w:t>
      </w:r>
    </w:p>
    <w:p>
      <w:pPr>
        <w:spacing w:after="0" w:line="155" w:lineRule="exact"/>
        <w:rPr>
          <w:rFonts w:ascii="Times New Roman" w:cs="Times New Roman" w:eastAsia="Times New Roman" w:hAnsi="Times New Roman"/>
          <w:sz w:val="20"/>
          <w:szCs w:val="20"/>
          <w:b w:val="1"/>
          <w:bCs w:val="1"/>
          <w:color w:val="auto"/>
        </w:rPr>
      </w:pPr>
    </w:p>
    <w:p>
      <w:pPr>
        <w:jc w:val="both"/>
        <w:ind w:left="760" w:hanging="3"/>
        <w:spacing w:after="0" w:line="244" w:lineRule="auto"/>
        <w:tabs>
          <w:tab w:leader="none" w:pos="1068" w:val="left"/>
        </w:tabs>
        <w:numPr>
          <w:ilvl w:val="1"/>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According to our policies, all officers, directors, and employees with a title of Executive Director or higher, and employees who are otherwise so informed by Kyntra Bio, must obtain pre-clearance of any transaction from Kyntra Bio’s head of Legal (a “Clearing Officer”) two trading days in advance of the proposed transaction. The Clearing Officer or his delegate will then determine whether the transaction may proceed, the time period for which such clearance applies and, if required, will coordinate Kyntra Bio’s assistance in complying with the reporting requirements under Section 16(a) of the Exchange Act, if any. Pre-cleared transactions not completed prior to pre-clearance expiration shall require new pre-clearance under the provisions of this paragraph. Kyntra Bio may, at its discretion, shorten such period of time.</w:t>
      </w:r>
    </w:p>
    <w:p>
      <w:pPr>
        <w:spacing w:after="0" w:line="181" w:lineRule="exact"/>
        <w:rPr>
          <w:rFonts w:ascii="Times New Roman" w:cs="Times New Roman" w:eastAsia="Times New Roman" w:hAnsi="Times New Roman"/>
          <w:sz w:val="20"/>
          <w:szCs w:val="20"/>
          <w:b w:val="1"/>
          <w:bCs w:val="1"/>
          <w:color w:val="auto"/>
        </w:rPr>
      </w:pPr>
    </w:p>
    <w:p>
      <w:pPr>
        <w:ind w:left="760" w:hanging="752"/>
        <w:spacing w:after="0" w:line="273" w:lineRule="auto"/>
        <w:tabs>
          <w:tab w:leader="none" w:pos="760" w:val="left"/>
        </w:tabs>
        <w:numPr>
          <w:ilvl w:val="0"/>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If I have an open order to buy or sell Kyntra Bio securities on the date the trading window closes, my broker will cancel the open order and won’t execute the trade, right?</w:t>
      </w:r>
    </w:p>
    <w:p>
      <w:pPr>
        <w:spacing w:after="0" w:line="155" w:lineRule="exact"/>
        <w:rPr>
          <w:rFonts w:ascii="Times New Roman" w:cs="Times New Roman" w:eastAsia="Times New Roman" w:hAnsi="Times New Roman"/>
          <w:sz w:val="20"/>
          <w:szCs w:val="20"/>
          <w:b w:val="1"/>
          <w:bCs w:val="1"/>
          <w:color w:val="auto"/>
        </w:rPr>
      </w:pPr>
    </w:p>
    <w:p>
      <w:pPr>
        <w:jc w:val="both"/>
        <w:ind w:left="760" w:hanging="3"/>
        <w:spacing w:after="0" w:line="254" w:lineRule="auto"/>
        <w:tabs>
          <w:tab w:leader="none" w:pos="1018" w:val="left"/>
        </w:tabs>
        <w:numPr>
          <w:ilvl w:val="1"/>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If you have any open orders at the time the trading window closes, it is your responsibility to cancel these orders with your broker. If you have an open order and it executes after the trading window closes, it is a violation of our insider trading policy and may also be a violation of the insider trading laws.</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allowed to trade derivative securities of Kyntra Bio? Or short Kyntra Bio common stock?</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54" w:lineRule="auto"/>
        <w:tabs>
          <w:tab w:leader="none" w:pos="1045" w:val="left"/>
        </w:tabs>
        <w:numPr>
          <w:ilvl w:val="1"/>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spacing w:after="0" w:line="174"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5" w:name="page286"/>
    <w:bookmarkEnd w:id="285"/>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p>
    <w:p>
      <w:pPr>
        <w:spacing w:after="0" w:line="170" w:lineRule="exact"/>
        <w:rPr>
          <w:sz w:val="20"/>
          <w:szCs w:val="20"/>
          <w:color w:val="auto"/>
        </w:rPr>
      </w:pPr>
    </w:p>
    <w:p>
      <w:pPr>
        <w:ind w:left="520" w:hanging="512"/>
        <w:spacing w:after="0"/>
        <w:tabs>
          <w:tab w:leader="none" w:pos="520" w:val="left"/>
        </w:tabs>
        <w:numPr>
          <w:ilvl w:val="0"/>
          <w:numId w:val="3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does Kyntra Bio prohibit trading in derivative securities and short selling?</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46" w:lineRule="auto"/>
        <w:tabs>
          <w:tab w:leader="none" w:pos="1032" w:val="left"/>
        </w:tabs>
        <w:numPr>
          <w:ilvl w:val="1"/>
          <w:numId w:val="3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spacing w:after="0" w:line="18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purchase Kyntra Bio securities on margin or hold them in a margin account?</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3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Under our policies, you may not purchase our common stock on margin.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You may not hold our common stock in a margin account without advance approval from a Clearing Officer.</w:t>
      </w:r>
    </w:p>
    <w:p>
      <w:pPr>
        <w:spacing w:after="0" w:line="216"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55" w:lineRule="exact"/>
        <w:rPr>
          <w:sz w:val="20"/>
          <w:szCs w:val="20"/>
          <w:color w:val="auto"/>
        </w:rPr>
      </w:pPr>
    </w:p>
    <w:p>
      <w:pPr>
        <w:ind w:left="760" w:hanging="752"/>
        <w:spacing w:after="0" w:line="273" w:lineRule="auto"/>
        <w:tabs>
          <w:tab w:leader="none" w:pos="760" w:val="left"/>
        </w:tabs>
        <w:numPr>
          <w:ilvl w:val="0"/>
          <w:numId w:val="3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does Kyntra Bio prohibit me from purchasing Kyntra Bio securities on margin or, potentially, from holding them in a margin account?</w:t>
      </w:r>
    </w:p>
    <w:p>
      <w:pPr>
        <w:spacing w:after="0" w:line="155" w:lineRule="exact"/>
        <w:rPr>
          <w:rFonts w:ascii="Times New Roman" w:cs="Times New Roman" w:eastAsia="Times New Roman" w:hAnsi="Times New Roman"/>
          <w:sz w:val="20"/>
          <w:szCs w:val="20"/>
          <w:b w:val="1"/>
          <w:bCs w:val="1"/>
          <w:color w:val="auto"/>
        </w:rPr>
      </w:pPr>
    </w:p>
    <w:p>
      <w:pPr>
        <w:jc w:val="both"/>
        <w:ind w:left="760" w:hanging="3"/>
        <w:spacing w:after="0" w:line="245" w:lineRule="auto"/>
        <w:tabs>
          <w:tab w:leader="none" w:pos="1018" w:val="left"/>
        </w:tabs>
        <w:numPr>
          <w:ilvl w:val="1"/>
          <w:numId w:val="3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Margin loans are subject to a margin call whether or not you possess insider information at the time of the call. If your margin call were called at a time when you had insider information and you could not or did not supply other collateral, you and Kyntra Bio could be subject to litigation based on your insider trading activities: the sale of the stock (through the margin call) when you possessed material, nonpublic information. The sale would be attributed to you even though the lender made the ultimate determination to sell. The U.S. Securities and Exchange Commission takes the view that you made the determination to not supply the additional collateral and are therefore responsible for the sale.</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3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exercise stock options during a trading blackout period or when I possess material nonpublic information?</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54" w:lineRule="auto"/>
        <w:tabs>
          <w:tab w:leader="none" w:pos="1018" w:val="left"/>
        </w:tabs>
        <w:numPr>
          <w:ilvl w:val="1"/>
          <w:numId w:val="3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You may exercise the option and receive shares, but you may not sell the shares (even to pay the exercise price or any taxes due) or otherwise settle the option during a trading blackout period or any time that you have material, nonpublic information. Also note that if you choose to exercise and hold the shares, you will be responsible at that time for any taxes due.</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subject to the trading blackout period if I am no longer an employee of Kyntra Bio?</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49" w:lineRule="auto"/>
        <w:tabs>
          <w:tab w:leader="none" w:pos="1032" w:val="left"/>
        </w:tabs>
        <w:numPr>
          <w:ilvl w:val="1"/>
          <w:numId w:val="3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depends. If your employment with Kyntra Bio ends on a day that the trading window is closed, you will be subject to the trading blackout period then in effect. If your employment with Kyntra Bio ends on a day that the trading window is open, you will not be subject to the next trading blackout period. However, even if you are not subject to our trading blackout period after you leave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6" w:name="page287"/>
    <w:bookmarkEnd w:id="286"/>
    <w:p>
      <w:pPr>
        <w:ind w:left="760" w:right="20"/>
        <w:spacing w:after="0" w:line="269" w:lineRule="auto"/>
        <w:rPr>
          <w:sz w:val="20"/>
          <w:szCs w:val="20"/>
          <w:color w:val="auto"/>
        </w:rPr>
      </w:pPr>
      <w:r>
        <w:rPr>
          <w:rFonts w:ascii="Times New Roman" w:cs="Times New Roman" w:eastAsia="Times New Roman" w:hAnsi="Times New Roman"/>
          <w:sz w:val="20"/>
          <w:szCs w:val="20"/>
          <w:color w:val="auto"/>
        </w:rPr>
        <w:t>Kyntra Bio, you should not trade in Kyntra Bio securities if you possess material, non-public information. That restriction stays with you as long as the information you possess is material and not released by Kyntra Bio.</w:t>
      </w:r>
    </w:p>
    <w:p>
      <w:pPr>
        <w:spacing w:after="0" w:line="155" w:lineRule="exact"/>
        <w:rPr>
          <w:sz w:val="20"/>
          <w:szCs w:val="20"/>
          <w:color w:val="auto"/>
        </w:rPr>
      </w:pPr>
    </w:p>
    <w:p>
      <w:pPr>
        <w:ind w:left="760" w:hanging="752"/>
        <w:spacing w:after="0"/>
        <w:tabs>
          <w:tab w:leader="none" w:pos="76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gift stock while I possess material, nonpublic information or during a trading blackout period?</w:t>
      </w:r>
    </w:p>
    <w:p>
      <w:pPr>
        <w:spacing w:after="0" w:line="219" w:lineRule="exact"/>
        <w:rPr>
          <w:rFonts w:ascii="Times New Roman" w:cs="Times New Roman" w:eastAsia="Times New Roman" w:hAnsi="Times New Roman"/>
          <w:sz w:val="20"/>
          <w:szCs w:val="20"/>
          <w:b w:val="1"/>
          <w:bCs w:val="1"/>
          <w:color w:val="auto"/>
        </w:rPr>
      </w:pPr>
    </w:p>
    <w:p>
      <w:pPr>
        <w:ind w:left="760" w:hanging="3"/>
        <w:spacing w:after="0" w:line="269" w:lineRule="auto"/>
        <w:tabs>
          <w:tab w:leader="none" w:pos="1045" w:val="left"/>
        </w:tabs>
        <w:numPr>
          <w:ilvl w:val="1"/>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not make gifts of our securities to persons or entities not under your control, whether to charities, to a trust, or otherwise when you possess material, nonpublic information or during a trading blackout period.</w:t>
      </w:r>
    </w:p>
    <w:p>
      <w:pPr>
        <w:spacing w:after="0" w:line="155" w:lineRule="exact"/>
        <w:rPr>
          <w:rFonts w:ascii="Times New Roman" w:cs="Times New Roman" w:eastAsia="Times New Roman" w:hAnsi="Times New Roman"/>
          <w:sz w:val="20"/>
          <w:szCs w:val="20"/>
          <w:b w:val="1"/>
          <w:bCs w:val="1"/>
          <w:color w:val="auto"/>
        </w:rPr>
      </w:pPr>
    </w:p>
    <w:p>
      <w:pPr>
        <w:ind w:left="760" w:right="20" w:hanging="752"/>
        <w:spacing w:after="0" w:line="273" w:lineRule="auto"/>
        <w:tabs>
          <w:tab w:leader="none" w:pos="76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purchased publicly-traded options or other derivative securities before I became a Kyntra Bio employee (or contractor or consultant)?</w:t>
      </w:r>
    </w:p>
    <w:p>
      <w:pPr>
        <w:spacing w:after="0" w:line="155" w:lineRule="exact"/>
        <w:rPr>
          <w:rFonts w:ascii="Times New Roman" w:cs="Times New Roman" w:eastAsia="Times New Roman" w:hAnsi="Times New Roman"/>
          <w:sz w:val="20"/>
          <w:szCs w:val="20"/>
          <w:b w:val="1"/>
          <w:bCs w:val="1"/>
          <w:color w:val="auto"/>
        </w:rPr>
      </w:pPr>
    </w:p>
    <w:p>
      <w:pPr>
        <w:jc w:val="both"/>
        <w:ind w:left="760" w:hanging="3"/>
        <w:spacing w:after="0" w:line="249" w:lineRule="auto"/>
        <w:tabs>
          <w:tab w:leader="none" w:pos="1018" w:val="left"/>
        </w:tabs>
        <w:numPr>
          <w:ilvl w:val="1"/>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same rules apply as for employee stock options. You may exercise the publicly-traded options at any time, but you may not sell such securities during a trading blackout period or at any time that you have material, nonpublic information. When you become a Kyntra Bio employee, you must report to our Finance department that you hold such publicly traded options or other derivative securities.</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May I own shares of a mutual fund that invests in Kyntra Bio?</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w:t>
      </w:r>
    </w:p>
    <w:p>
      <w:pPr>
        <w:spacing w:after="0" w:line="21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Are mutual fund shares holding Kyntra Bio subject to the trading blackout periods?</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You may trade in mutual funds holding our common stock at any time.</w:t>
      </w:r>
    </w:p>
    <w:p>
      <w:pPr>
        <w:spacing w:after="0" w:line="21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May I use a “routine trading program” or “10b5-1 plan”?</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49" w:lineRule="auto"/>
        <w:tabs>
          <w:tab w:leader="none" w:pos="1018" w:val="left"/>
        </w:tabs>
        <w:numPr>
          <w:ilvl w:val="1"/>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subject to the requirements discussed in our Insider Trading and Trading Window Policy. A routine trading program, also known as a 10b5-1 plan, allows you to set up a highly structured program with your stock broker through which you specify ahead of time the date, price, and amount of securities to be traded. If you wish to create a 10b5-1 plan, you must contact the Legal department and Finance department for approval.</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happens if I violate our insider trading policy?</w:t>
      </w:r>
    </w:p>
    <w:p>
      <w:pPr>
        <w:spacing w:after="0" w:line="219" w:lineRule="exact"/>
        <w:rPr>
          <w:rFonts w:ascii="Times New Roman" w:cs="Times New Roman" w:eastAsia="Times New Roman" w:hAnsi="Times New Roman"/>
          <w:sz w:val="20"/>
          <w:szCs w:val="20"/>
          <w:b w:val="1"/>
          <w:bCs w:val="1"/>
          <w:color w:val="auto"/>
        </w:rPr>
      </w:pPr>
    </w:p>
    <w:p>
      <w:pPr>
        <w:jc w:val="both"/>
        <w:ind w:left="760" w:hanging="3"/>
        <w:spacing w:after="0" w:line="254" w:lineRule="auto"/>
        <w:tabs>
          <w:tab w:leader="none" w:pos="1018" w:val="left"/>
        </w:tabs>
        <w:numPr>
          <w:ilvl w:val="1"/>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Violation of our policies may result in severe personnel action, including a memo to your personnel file and up to and including termination of your employment or other relationship with Kyntra Bio. In addition, you may be subject to criminal and civil enforcement actions by the government.</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Who should I contact if I have questions about our insider trading policy?</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should contact our Legal department or Finance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List of Subsidiaries of Kyntra Bio, Inc.</w:t>
            </w:r>
          </w:p>
        </w:tc>
      </w:tr>
      <w:tr>
        <w:trPr>
          <w:trHeight w:val="514"/>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Subsidiaries</w:t>
            </w:r>
          </w:p>
        </w:tc>
        <w:tc>
          <w:tcPr>
            <w:tcW w:w="2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Incorporation</w:t>
            </w:r>
          </w:p>
        </w:tc>
      </w:tr>
      <w:tr>
        <w:trPr>
          <w:trHeight w:val="20"/>
        </w:trPr>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13"/>
        </w:trPr>
        <w:tc>
          <w:tcPr>
            <w:tcW w:w="1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FibroGen China Anemia Holdings, Ltd.</w:t>
            </w:r>
          </w:p>
        </w:tc>
        <w:tc>
          <w:tcPr>
            <w:tcW w:w="448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Cayman Islands</w:t>
            </w:r>
          </w:p>
        </w:tc>
      </w:tr>
      <w:tr>
        <w:trPr>
          <w:trHeight w:val="351"/>
        </w:trPr>
        <w:tc>
          <w:tcPr>
            <w:tcW w:w="1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FibroGen Europe Oy</w:t>
            </w:r>
          </w:p>
        </w:tc>
        <w:tc>
          <w:tcPr>
            <w:tcW w:w="448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Finland</w:t>
            </w:r>
          </w:p>
        </w:tc>
      </w:tr>
      <w:tr>
        <w:trPr>
          <w:trHeight w:val="351"/>
        </w:trPr>
        <w:tc>
          <w:tcPr>
            <w:tcW w:w="1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FibroGen International (Cayman) Limited</w:t>
            </w:r>
          </w:p>
        </w:tc>
        <w:tc>
          <w:tcPr>
            <w:tcW w:w="448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Cayman Islands</w:t>
            </w:r>
          </w:p>
        </w:tc>
      </w:tr>
      <w:tr>
        <w:trPr>
          <w:trHeight w:val="351"/>
        </w:trPr>
        <w:tc>
          <w:tcPr>
            <w:tcW w:w="1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FibroGen INTL LLC</w:t>
            </w:r>
          </w:p>
        </w:tc>
        <w:tc>
          <w:tcPr>
            <w:tcW w:w="448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 USA</w:t>
            </w:r>
          </w:p>
        </w:tc>
      </w:tr>
      <w:tr>
        <w:trPr>
          <w:trHeight w:val="351"/>
        </w:trPr>
        <w:tc>
          <w:tcPr>
            <w:tcW w:w="10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Skin Sciences, Inc.</w:t>
            </w:r>
          </w:p>
        </w:tc>
        <w:tc>
          <w:tcPr>
            <w:tcW w:w="448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 USA</w:t>
            </w:r>
          </w:p>
        </w:tc>
      </w:tr>
      <w:tr>
        <w:trPr>
          <w:trHeight w:val="1764"/>
        </w:trPr>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333-280597) and Form S-8 (No. 333-213816, No. 333-216369, No. 333-233204, No. 333-258655, No. 333-266667, No. 333-273765, and No. 333-281342) of Kyntra Bio, Inc. of our report dated March 16, 2026 relating to the financial statements and financial statement schedule, which appears in this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Thane Wettig, certify that;</w:t>
      </w:r>
    </w:p>
    <w:p>
      <w:pPr>
        <w:spacing w:after="0" w:line="225" w:lineRule="exact"/>
        <w:rPr>
          <w:sz w:val="20"/>
          <w:szCs w:val="20"/>
          <w:color w:val="auto"/>
        </w:rPr>
      </w:pPr>
    </w:p>
    <w:p>
      <w:pPr>
        <w:ind w:left="180" w:hanging="172"/>
        <w:spacing w:after="0"/>
        <w:tabs>
          <w:tab w:leader="none" w:pos="1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Kyntra Bio,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Thane Wettig</w:t>
            </w:r>
          </w:p>
        </w:tc>
      </w:tr>
      <w:tr>
        <w:trPr>
          <w:trHeight w:val="191"/>
        </w:trPr>
        <w:tc>
          <w:tcPr>
            <w:tcW w:w="6200" w:type="dxa"/>
            <w:vAlign w:val="bottom"/>
          </w:tcPr>
          <w:p>
            <w:pPr>
              <w:spacing w:after="0"/>
              <w:rPr>
                <w:sz w:val="16"/>
                <w:szCs w:val="16"/>
                <w:color w:val="auto"/>
              </w:rPr>
            </w:pPr>
          </w:p>
        </w:tc>
        <w:tc>
          <w:tcPr>
            <w:tcW w:w="504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Thane Wettig</w:t>
            </w:r>
          </w:p>
        </w:tc>
      </w:tr>
      <w:tr>
        <w:trPr>
          <w:trHeight w:val="216"/>
        </w:trPr>
        <w:tc>
          <w:tcPr>
            <w:tcW w:w="6200" w:type="dxa"/>
            <w:vAlign w:val="bottom"/>
          </w:tcPr>
          <w:p>
            <w:pPr>
              <w:spacing w:after="0"/>
              <w:rPr>
                <w:sz w:val="18"/>
                <w:szCs w:val="18"/>
                <w:color w:val="auto"/>
              </w:rPr>
            </w:pPr>
          </w:p>
        </w:tc>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2"/>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DeLucia, certify that;</w:t>
      </w:r>
    </w:p>
    <w:p>
      <w:pPr>
        <w:spacing w:after="0" w:line="225" w:lineRule="exact"/>
        <w:rPr>
          <w:sz w:val="20"/>
          <w:szCs w:val="20"/>
          <w:color w:val="auto"/>
        </w:rPr>
      </w:pPr>
    </w:p>
    <w:p>
      <w:pPr>
        <w:ind w:left="180" w:hanging="172"/>
        <w:spacing w:after="0"/>
        <w:tabs>
          <w:tab w:leader="none" w:pos="1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Kyntra Bio,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March 16, 2026</w:t>
      </w:r>
      <w:r>
        <w:rPr>
          <w:sz w:val="20"/>
          <w:szCs w:val="20"/>
          <w:color w:val="auto"/>
        </w:rPr>
        <w:tab/>
      </w:r>
      <w:r>
        <w:rPr>
          <w:rFonts w:ascii="Times New Roman" w:cs="Times New Roman" w:eastAsia="Times New Roman" w:hAnsi="Times New Roman"/>
          <w:sz w:val="17"/>
          <w:szCs w:val="17"/>
          <w:color w:val="auto"/>
        </w:rPr>
        <w:t>/s/ David DeLucia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David DeLucia</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Thane Wettig, Chief Executive Officer of Kyntra Bio, Inc. (the “Company”), and David DeLucia, Chief Financial Officer of the Company, each hereby certifies that, to the best of his knowledge:</w:t>
      </w:r>
    </w:p>
    <w:p>
      <w:pPr>
        <w:spacing w:after="0" w:line="68" w:lineRule="exact"/>
        <w:rPr>
          <w:sz w:val="20"/>
          <w:szCs w:val="20"/>
          <w:color w:val="auto"/>
        </w:rPr>
      </w:pPr>
    </w:p>
    <w:p>
      <w:pPr>
        <w:ind w:left="520" w:right="140" w:hanging="512"/>
        <w:spacing w:after="0" w:line="282" w:lineRule="auto"/>
        <w:tabs>
          <w:tab w:leader="none" w:pos="5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2025 (the “Annual Report”), to which this Certification is attached as Exhibit 32.1,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2026.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Thane Wettig</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David DeLucia</w:t>
            </w:r>
          </w:p>
        </w:tc>
      </w:tr>
      <w:tr>
        <w:trPr>
          <w:trHeight w:val="191"/>
        </w:trPr>
        <w:tc>
          <w:tcPr>
            <w:tcW w:w="5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Thane Wettig</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DeLucia</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1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Kyntra Bio,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2" w:name="page293"/>
    <w:bookmarkEnd w:id="292"/>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yntra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ame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on</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ecember</w:t>
      </w:r>
      <w:r>
        <w:rPr>
          <w:rFonts w:ascii="Times New Roman" w:cs="Times New Roman" w:eastAsia="Times New Roman" w:hAnsi="Times New Roman"/>
          <w:sz w:val="18"/>
          <w:szCs w:val="18"/>
          <w:b w:val="1"/>
          <w:bCs w:val="1"/>
          <w:color w:val="auto"/>
        </w:rPr>
        <w:t xml:space="preserve"> 19, 2025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ntroduction</w:t>
      </w:r>
    </w:p>
    <w:p>
      <w:pPr>
        <w:spacing w:after="0" w:line="28" w:lineRule="exact"/>
        <w:rPr>
          <w:sz w:val="20"/>
          <w:szCs w:val="20"/>
          <w:color w:val="auto"/>
        </w:rPr>
      </w:pPr>
    </w:p>
    <w:p>
      <w:pPr>
        <w:jc w:val="both"/>
        <w:ind w:firstLine="849"/>
        <w:spacing w:after="0" w:line="253" w:lineRule="auto"/>
        <w:rPr>
          <w:sz w:val="20"/>
          <w:szCs w:val="20"/>
          <w:color w:val="auto"/>
        </w:rPr>
      </w:pPr>
      <w:r>
        <w:rPr>
          <w:rFonts w:ascii="Times New Roman" w:cs="Times New Roman" w:eastAsia="Times New Roman" w:hAnsi="Times New Roman"/>
          <w:sz w:val="18"/>
          <w:szCs w:val="18"/>
          <w:color w:val="auto"/>
        </w:rPr>
        <w:t>The Compensation Committee of the Board of Directors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Kyntra 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60" w:lineRule="exact"/>
        <w:rPr>
          <w:sz w:val="20"/>
          <w:szCs w:val="20"/>
          <w:color w:val="auto"/>
        </w:rPr>
      </w:pPr>
    </w:p>
    <w:p>
      <w:pPr>
        <w:jc w:val="both"/>
        <w:ind w:firstLine="849"/>
        <w:spacing w:after="0" w:line="282" w:lineRule="auto"/>
        <w:rPr>
          <w:sz w:val="20"/>
          <w:szCs w:val="20"/>
          <w:color w:val="auto"/>
        </w:rPr>
      </w:pPr>
      <w:r>
        <w:rPr>
          <w:rFonts w:ascii="Times New Roman" w:cs="Times New Roman" w:eastAsia="Times New Roman" w:hAnsi="Times New Roman"/>
          <w:sz w:val="18"/>
          <w:szCs w:val="18"/>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8"/>
          <w:szCs w:val="18"/>
          <w:b w:val="1"/>
          <w:bCs w:val="1"/>
          <w:i w:val="1"/>
          <w:iCs w:val="1"/>
          <w:color w:val="auto"/>
        </w:rPr>
        <w:t>Rule 10D-1</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2"/>
          <w:szCs w:val="12"/>
          <w:b w:val="1"/>
          <w:bCs w:val="1"/>
          <w:color w:val="auto"/>
        </w:rPr>
        <w:t>ate</w:t>
      </w:r>
    </w:p>
    <w:p>
      <w:pPr>
        <w:spacing w:after="0" w:line="28" w:lineRule="exact"/>
        <w:rPr>
          <w:sz w:val="20"/>
          <w:szCs w:val="20"/>
          <w:color w:val="auto"/>
        </w:rPr>
      </w:pPr>
    </w:p>
    <w:p>
      <w:pPr>
        <w:jc w:val="both"/>
        <w:ind w:firstLine="849"/>
        <w:spacing w:after="0" w:line="254" w:lineRule="auto"/>
        <w:rPr>
          <w:sz w:val="20"/>
          <w:szCs w:val="20"/>
          <w:color w:val="auto"/>
        </w:rPr>
      </w:pPr>
      <w:r>
        <w:rPr>
          <w:rFonts w:ascii="Times New Roman" w:cs="Times New Roman" w:eastAsia="Times New Roman" w:hAnsi="Times New Roman"/>
          <w:sz w:val="18"/>
          <w:szCs w:val="18"/>
          <w:color w:val="auto"/>
        </w:rPr>
        <w:t>This Policy shall apply to all Incentive Compensation that is received by a Covered Officer on or after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Incentive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2"/>
          <w:szCs w:val="12"/>
          <w:b w:val="1"/>
          <w:bCs w:val="1"/>
          <w:color w:val="auto"/>
        </w:rPr>
        <w:t>efinitions</w:t>
      </w:r>
    </w:p>
    <w:p>
      <w:pPr>
        <w:spacing w:after="0" w:line="28" w:lineRule="exact"/>
        <w:rPr>
          <w:sz w:val="20"/>
          <w:szCs w:val="20"/>
          <w:color w:val="auto"/>
        </w:rPr>
      </w:pPr>
    </w:p>
    <w:p>
      <w:pPr>
        <w:jc w:val="both"/>
        <w:ind w:firstLine="95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56" w:lineRule="exact"/>
        <w:rPr>
          <w:sz w:val="20"/>
          <w:szCs w:val="20"/>
          <w:color w:val="auto"/>
        </w:rPr>
      </w:pPr>
    </w:p>
    <w:p>
      <w:pPr>
        <w:jc w:val="both"/>
        <w:ind w:firstLine="8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 Date</w:t>
      </w:r>
      <w:r>
        <w:rPr>
          <w:rFonts w:ascii="Times New Roman" w:cs="Times New Roman" w:eastAsia="Times New Roman" w:hAnsi="Times New Roman"/>
          <w:sz w:val="18"/>
          <w:szCs w:val="18"/>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Compensation Committee or, in the absence of such committee, the Board.</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promulgated thereunder.</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means each current and former Executive Officer.</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the Nasdaq Stock Market.</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an executive officer as defined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1027430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8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 measure need not be presented in the Company’s financial statements or included in a filing with the SEC in order to be a Financial Reporting Measure.</w:t>
      </w:r>
    </w:p>
    <w:p>
      <w:pPr>
        <w:spacing w:after="0" w:line="163" w:lineRule="exact"/>
        <w:rPr>
          <w:sz w:val="20"/>
          <w:szCs w:val="20"/>
          <w:color w:val="auto"/>
        </w:rPr>
      </w:pPr>
    </w:p>
    <w:p>
      <w:pPr>
        <w:jc w:val="both"/>
        <w:ind w:firstLine="8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41" w:lineRule="exact"/>
        <w:rPr>
          <w:sz w:val="20"/>
          <w:szCs w:val="20"/>
          <w:color w:val="auto"/>
        </w:rPr>
      </w:pPr>
    </w:p>
    <w:p>
      <w:pPr>
        <w:jc w:val="both"/>
        <w:ind w:firstLine="8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49" w:lineRule="exact"/>
        <w:rPr>
          <w:sz w:val="20"/>
          <w:szCs w:val="20"/>
          <w:color w:val="auto"/>
        </w:rPr>
      </w:pPr>
    </w:p>
    <w:p>
      <w:pPr>
        <w:jc w:val="both"/>
        <w:ind w:firstLine="8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Recoverable Incentive Compensation</w:t>
      </w:r>
      <w:r>
        <w:rPr>
          <w:rFonts w:ascii="Times New Roman" w:cs="Times New Roman" w:eastAsia="Times New Roman" w:hAnsi="Times New Roman"/>
          <w:sz w:val="18"/>
          <w:szCs w:val="18"/>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2"/>
          <w:szCs w:val="12"/>
          <w:b w:val="1"/>
          <w:bCs w:val="1"/>
          <w:color w:val="auto"/>
        </w:rPr>
        <w:t>ecoupment</w:t>
      </w:r>
    </w:p>
    <w:p>
      <w:pPr>
        <w:spacing w:after="0" w:line="26" w:lineRule="exact"/>
        <w:rPr>
          <w:sz w:val="20"/>
          <w:szCs w:val="20"/>
          <w:color w:val="auto"/>
        </w:rPr>
      </w:pPr>
    </w:p>
    <w:p>
      <w:pPr>
        <w:jc w:val="both"/>
        <w:ind w:firstLine="849"/>
        <w:spacing w:after="0" w:line="255"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7"/>
          <w:szCs w:val="17"/>
          <w:b w:val="1"/>
          <w:bCs w:val="1"/>
          <w:color w:val="auto"/>
        </w:rPr>
        <w:t>Applicability of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This Policy applies to Incentive Compensation received by a Covered Officer (i) after beginning services 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2" w:lineRule="exact"/>
        <w:rPr>
          <w:sz w:val="20"/>
          <w:szCs w:val="20"/>
          <w:color w:val="auto"/>
        </w:rPr>
      </w:pPr>
    </w:p>
    <w:p>
      <w:pPr>
        <w:jc w:val="both"/>
        <w:ind w:firstLine="849"/>
        <w:spacing w:after="0" w:line="260"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7"/>
          <w:szCs w:val="17"/>
          <w:b w:val="1"/>
          <w:bCs w:val="1"/>
          <w:color w:val="auto"/>
        </w:rPr>
        <w:t>Recoupment Generally.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Pursuant to the provisions of this Policy, if there is an Accounting Restatement, the Company must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7"/>
          <w:szCs w:val="17"/>
          <w:b w:val="1"/>
          <w:bCs w:val="1"/>
          <w:color w:val="auto"/>
        </w:rPr>
        <w:t>Impracticability of Recovery.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Recoupment may be determined to be impracticable if, and only if:</w:t>
      </w:r>
    </w:p>
    <w:p>
      <w:pPr>
        <w:jc w:val="both"/>
        <w:ind w:firstLine="909"/>
        <w:spacing w:after="0" w:line="247"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7"/>
          <w:szCs w:val="17"/>
          <w:color w:val="auto"/>
        </w:rPr>
        <w:t>the direct expense paid to a third party to assist in enforcing this Policy would exceed the amount of the applicable Recoverable Incentive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216" w:lineRule="exact"/>
        <w:rPr>
          <w:sz w:val="20"/>
          <w:szCs w:val="20"/>
          <w:color w:val="auto"/>
        </w:rPr>
      </w:pPr>
    </w:p>
    <w:p>
      <w:pPr>
        <w:jc w:val="both"/>
        <w:ind w:firstLine="909"/>
        <w:spacing w:after="0" w:line="26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7"/>
          <w:szCs w:val="17"/>
          <w:color w:val="auto"/>
        </w:rPr>
        <w:t>recoupment of the applicable Recoverable Incentive Compensation would likely cause an otherwise tax-qualified retirement plan, 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which benefits are broadly available to employees of the Company, to fail to meet the requirements of Code Section 401(a)(13) or Code Section 411(a) and regulations thereunder.</w:t>
      </w:r>
    </w:p>
    <w:p>
      <w:pPr>
        <w:jc w:val="both"/>
        <w:ind w:firstLine="849"/>
        <w:spacing w:after="0" w:line="264" w:lineRule="auto"/>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7"/>
          <w:szCs w:val="17"/>
          <w:b w:val="1"/>
          <w:bCs w:val="1"/>
          <w:color w:val="auto"/>
        </w:rPr>
        <w:t>Sources of Recoupment.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To the extent permitted by applicable law, the Administrator shall, in its sole discretion, determine the timing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 xml:space="preserve">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201" w:lineRule="exact"/>
        <w:rPr>
          <w:sz w:val="20"/>
          <w:szCs w:val="20"/>
          <w:color w:val="auto"/>
        </w:rPr>
      </w:pPr>
    </w:p>
    <w:p>
      <w:pPr>
        <w:jc w:val="both"/>
        <w:ind w:firstLine="849"/>
        <w:spacing w:after="0" w:line="257" w:lineRule="auto"/>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7"/>
          <w:szCs w:val="17"/>
          <w:b w:val="1"/>
          <w:bCs w:val="1"/>
          <w:color w:val="auto"/>
        </w:rPr>
        <w:t>No Indemnification of Covered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Notwithstanding any indemnification agreement, applicable insurance policy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3" w:lineRule="exact"/>
        <w:rPr>
          <w:sz w:val="20"/>
          <w:szCs w:val="20"/>
          <w:color w:val="auto"/>
        </w:rPr>
      </w:pPr>
    </w:p>
    <w:p>
      <w:pPr>
        <w:jc w:val="both"/>
        <w:ind w:firstLine="849"/>
        <w:spacing w:after="0" w:line="262"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7"/>
          <w:szCs w:val="17"/>
          <w:b w:val="1"/>
          <w:bCs w:val="1"/>
          <w:color w:val="auto"/>
        </w:rPr>
        <w:t>Indemnification of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202" w:lineRule="exact"/>
        <w:rPr>
          <w:sz w:val="20"/>
          <w:szCs w:val="20"/>
          <w:color w:val="auto"/>
        </w:rPr>
      </w:pPr>
    </w:p>
    <w:p>
      <w:pPr>
        <w:jc w:val="both"/>
        <w:ind w:firstLine="849"/>
        <w:spacing w:after="0" w:line="263" w:lineRule="auto"/>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7"/>
          <w:szCs w:val="17"/>
          <w:b w:val="1"/>
          <w:bCs w:val="1"/>
          <w:color w:val="auto"/>
        </w:rPr>
        <w:t>No “Good Reason” for Covered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Any action by the Company to recoup or any recoupment of Recoverable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dministration</w:t>
      </w:r>
    </w:p>
    <w:p>
      <w:pPr>
        <w:spacing w:after="0" w:line="28" w:lineRule="exact"/>
        <w:rPr>
          <w:sz w:val="20"/>
          <w:szCs w:val="20"/>
          <w:color w:val="auto"/>
        </w:rPr>
      </w:pPr>
    </w:p>
    <w:p>
      <w:pPr>
        <w:jc w:val="both"/>
        <w:ind w:firstLine="849"/>
        <w:spacing w:after="0" w:line="251" w:lineRule="auto"/>
        <w:rPr>
          <w:sz w:val="20"/>
          <w:szCs w:val="20"/>
          <w:color w:val="auto"/>
        </w:rPr>
      </w:pPr>
      <w:r>
        <w:rPr>
          <w:rFonts w:ascii="Times New Roman" w:cs="Times New Roman" w:eastAsia="Times New Roman" w:hAnsi="Times New Roman"/>
          <w:sz w:val="18"/>
          <w:szCs w:val="18"/>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everability</w:t>
      </w:r>
    </w:p>
    <w:p>
      <w:pPr>
        <w:spacing w:after="0" w:line="28"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 Covered Officer shall be adjudicated to be invalid, illegal or unenforceable in any respect, such invalidity, illegality or unenforceability shall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1338580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5" w:name="page296"/>
    <w:bookmarkEnd w:id="29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 affect any other provisions of this Policy, and the invalid, illegal or unenforceable provisions shall be deemed amended to the minimum extent necessary to render any such provision or application enforceable.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mpairment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2"/>
          <w:szCs w:val="12"/>
          <w:b w:val="1"/>
          <w:bCs w:val="1"/>
          <w:color w:val="auto"/>
        </w:rPr>
        <w:t>emedies</w:t>
      </w:r>
    </w:p>
    <w:p>
      <w:pPr>
        <w:spacing w:after="0" w:line="28" w:lineRule="exact"/>
        <w:rPr>
          <w:sz w:val="20"/>
          <w:szCs w:val="20"/>
          <w:color w:val="auto"/>
        </w:rPr>
      </w:pPr>
    </w:p>
    <w:p>
      <w:pPr>
        <w:jc w:val="both"/>
        <w:ind w:firstLine="849"/>
        <w:spacing w:after="0" w:line="251" w:lineRule="auto"/>
        <w:rPr>
          <w:sz w:val="20"/>
          <w:szCs w:val="20"/>
          <w:color w:val="auto"/>
        </w:rPr>
      </w:pPr>
      <w:r>
        <w:rPr>
          <w:rFonts w:ascii="Times New Roman" w:cs="Times New Roman" w:eastAsia="Times New Roman" w:hAnsi="Times New Roman"/>
          <w:sz w:val="18"/>
          <w:szCs w:val="18"/>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8"/>
          <w:szCs w:val="18"/>
          <w:b w:val="1"/>
          <w:bCs w:val="1"/>
          <w:color w:val="auto"/>
        </w:rPr>
        <w:t>SOX 304</w:t>
      </w:r>
      <w:r>
        <w:rPr>
          <w:rFonts w:ascii="Times New Roman" w:cs="Times New Roman" w:eastAsia="Times New Roman" w:hAnsi="Times New Roman"/>
          <w:sz w:val="18"/>
          <w:szCs w:val="18"/>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7"/>
          <w:szCs w:val="17"/>
          <w:b w:val="1"/>
          <w:bCs w:val="1"/>
          <w:color w:val="auto"/>
        </w:rPr>
        <w:t>; T</w:t>
      </w:r>
      <w:r>
        <w:rPr>
          <w:rFonts w:ascii="Times New Roman" w:cs="Times New Roman" w:eastAsia="Times New Roman" w:hAnsi="Times New Roman"/>
          <w:sz w:val="12"/>
          <w:szCs w:val="12"/>
          <w:b w:val="1"/>
          <w:bCs w:val="1"/>
          <w:color w:val="auto"/>
        </w:rPr>
        <w:t>ermination</w:t>
      </w:r>
    </w:p>
    <w:p>
      <w:pPr>
        <w:spacing w:after="0" w:line="28"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18"/>
          <w:szCs w:val="18"/>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uccessors</w:t>
      </w:r>
    </w:p>
    <w:p>
      <w:pPr>
        <w:spacing w:after="0" w:line="28"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2"/>
          <w:szCs w:val="12"/>
          <w:b w:val="1"/>
          <w:bCs w:val="1"/>
          <w:color w:val="auto"/>
        </w:rPr>
        <w:t>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ilings</w:t>
      </w:r>
    </w:p>
    <w:p>
      <w:pPr>
        <w:spacing w:after="0" w:line="2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The Company shall make any disclosures and filings with respect to this Policy that are required by law, including as required by the SEC.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yntra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the undersigned, agree and acknowledge that I am bound by, and subject to, the Kyntra Bio, Inc. Incentive Compensation Recoupment Policy, as may be amended, restated, supplemented or otherwise modified from time to time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In the event of any inconsistency between the Policy and the terms of any employment agreement, offer letter or other individual agreement with Kyntra Bio,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6" w:name="page297"/>
    <w:bookmarkEnd w:id="296"/>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942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Title:</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1547495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97" w:name="page298"/>
    <w:bookmarkEnd w:id="2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EC9D844"/>
    <w:multiLevelType w:val="hybridMultilevel"/>
    <w:lvl w:ilvl="0">
      <w:lvlJc w:val="left"/>
      <w:lvlText w:val="☒"/>
      <w:numFmt w:val="bullet"/>
      <w:start w:val="1"/>
    </w:lvl>
  </w:abstractNum>
  <w:abstractNum w:abstractNumId="1">
    <w:nsid w:val="5C49EAEE"/>
    <w:multiLevelType w:val="hybridMultilevel"/>
    <w:lvl w:ilvl="0">
      <w:lvlJc w:val="left"/>
      <w:lvlText w:val="☐"/>
      <w:numFmt w:val="bullet"/>
      <w:start w:val="1"/>
    </w:lvl>
  </w:abstractNum>
  <w:abstractNum w:abstractNumId="2">
    <w:nsid w:val="64AF49B"/>
    <w:multiLevelType w:val="hybridMultilevel"/>
    <w:lvl w:ilvl="0">
      <w:lvlJc w:val="left"/>
      <w:lvlText w:val="•"/>
      <w:numFmt w:val="bullet"/>
      <w:start w:val="1"/>
    </w:lvl>
  </w:abstractNum>
  <w:abstractNum w:abstractNumId="3">
    <w:nsid w:val="397C46BC"/>
    <w:multiLevelType w:val="hybridMultilevel"/>
    <w:lvl w:ilvl="0">
      <w:lvlJc w:val="left"/>
      <w:lvlText w:val="•"/>
      <w:numFmt w:val="bullet"/>
      <w:start w:val="1"/>
    </w:lvl>
  </w:abstractNum>
  <w:abstractNum w:abstractNumId="4">
    <w:nsid w:val="7E448DE9"/>
    <w:multiLevelType w:val="hybridMultilevel"/>
    <w:lvl w:ilvl="0">
      <w:lvlJc w:val="left"/>
      <w:lvlText w:val="•"/>
      <w:numFmt w:val="bullet"/>
      <w:start w:val="1"/>
    </w:lvl>
  </w:abstractNum>
  <w:abstractNum w:abstractNumId="5">
    <w:nsid w:val="5A9CC3E5"/>
    <w:multiLevelType w:val="hybridMultilevel"/>
    <w:lvl w:ilvl="0">
      <w:lvlJc w:val="left"/>
      <w:lvlText w:val="•"/>
      <w:numFmt w:val="bullet"/>
      <w:start w:val="1"/>
    </w:lvl>
  </w:abstractNum>
  <w:abstractNum w:abstractNumId="6">
    <w:nsid w:val="1AFE3625"/>
    <w:multiLevelType w:val="hybridMultilevel"/>
    <w:lvl w:ilvl="0">
      <w:lvlJc w:val="left"/>
      <w:lvlText w:val="•"/>
      <w:numFmt w:val="bullet"/>
      <w:start w:val="1"/>
    </w:lvl>
  </w:abstractNum>
  <w:abstractNum w:abstractNumId="7">
    <w:nsid w:val="3CA88ECF"/>
    <w:multiLevelType w:val="hybridMultilevel"/>
    <w:lvl w:ilvl="0">
      <w:lvlJc w:val="left"/>
      <w:lvlText w:val="•"/>
      <w:numFmt w:val="bullet"/>
      <w:start w:val="1"/>
    </w:lvl>
  </w:abstractNum>
  <w:abstractNum w:abstractNumId="8">
    <w:nsid w:val="6EBE4208"/>
    <w:multiLevelType w:val="hybridMultilevel"/>
    <w:lvl w:ilvl="0">
      <w:lvlJc w:val="left"/>
      <w:lvlText w:val="•"/>
      <w:numFmt w:val="bullet"/>
      <w:start w:val="1"/>
    </w:lvl>
  </w:abstractNum>
  <w:abstractNum w:abstractNumId="9">
    <w:nsid w:val="C058DF5"/>
    <w:multiLevelType w:val="hybridMultilevel"/>
    <w:lvl w:ilvl="0">
      <w:lvlJc w:val="left"/>
      <w:lvlText w:val="•"/>
      <w:numFmt w:val="bullet"/>
      <w:start w:val="1"/>
    </w:lvl>
  </w:abstractNum>
  <w:abstractNum w:abstractNumId="10">
    <w:nsid w:val="CBE5BE9"/>
    <w:multiLevelType w:val="hybridMultilevel"/>
    <w:lvl w:ilvl="0">
      <w:lvlJc w:val="left"/>
      <w:lvlText w:val="•"/>
      <w:numFmt w:val="bullet"/>
      <w:start w:val="1"/>
    </w:lvl>
  </w:abstractNum>
  <w:abstractNum w:abstractNumId="11">
    <w:nsid w:val="3102BBE2"/>
    <w:multiLevelType w:val="hybridMultilevel"/>
    <w:lvl w:ilvl="0">
      <w:lvlJc w:val="left"/>
      <w:lvlText w:val="•"/>
      <w:numFmt w:val="bullet"/>
      <w:start w:val="1"/>
    </w:lvl>
  </w:abstractNum>
  <w:abstractNum w:abstractNumId="12">
    <w:nsid w:val="26A02C5E"/>
    <w:multiLevelType w:val="hybridMultilevel"/>
    <w:lvl w:ilvl="0">
      <w:lvlJc w:val="left"/>
      <w:lvlText w:val="•"/>
      <w:numFmt w:val="bullet"/>
      <w:start w:val="1"/>
    </w:lvl>
  </w:abstractNum>
  <w:abstractNum w:abstractNumId="13">
    <w:nsid w:val="541C8153"/>
    <w:multiLevelType w:val="hybridMultilevel"/>
    <w:lvl w:ilvl="0">
      <w:lvlJc w:val="left"/>
      <w:lvlText w:val="•"/>
      <w:numFmt w:val="bullet"/>
      <w:start w:val="1"/>
    </w:lvl>
  </w:abstractNum>
  <w:abstractNum w:abstractNumId="14">
    <w:nsid w:val="67906F60"/>
    <w:multiLevelType w:val="hybridMultilevel"/>
    <w:lvl w:ilvl="0">
      <w:lvlJc w:val="left"/>
      <w:lvlText w:val="•"/>
      <w:numFmt w:val="bullet"/>
      <w:start w:val="1"/>
    </w:lvl>
  </w:abstractNum>
  <w:abstractNum w:abstractNumId="15">
    <w:nsid w:val="10DB9DAA"/>
    <w:multiLevelType w:val="hybridMultilevel"/>
    <w:lvl w:ilvl="0">
      <w:lvlJc w:val="left"/>
      <w:lvlText w:val="•"/>
      <w:numFmt w:val="bullet"/>
      <w:start w:val="1"/>
    </w:lvl>
  </w:abstractNum>
  <w:abstractNum w:abstractNumId="16">
    <w:nsid w:val="697D2D2"/>
    <w:multiLevelType w:val="hybridMultilevel"/>
    <w:lvl w:ilvl="0">
      <w:lvlJc w:val="left"/>
      <w:lvlText w:val="•"/>
      <w:numFmt w:val="bullet"/>
      <w:start w:val="1"/>
    </w:lvl>
  </w:abstractNum>
  <w:abstractNum w:abstractNumId="17">
    <w:nsid w:val="6D68AB2"/>
    <w:multiLevelType w:val="hybridMultilevel"/>
    <w:lvl w:ilvl="0">
      <w:lvlJc w:val="left"/>
      <w:lvlText w:val="•"/>
      <w:numFmt w:val="bullet"/>
      <w:start w:val="1"/>
    </w:lvl>
  </w:abstractNum>
  <w:abstractNum w:abstractNumId="18">
    <w:nsid w:val="3A966CD0"/>
    <w:multiLevelType w:val="hybridMultilevel"/>
    <w:lvl w:ilvl="0">
      <w:lvlJc w:val="left"/>
      <w:lvlText w:val="•"/>
      <w:numFmt w:val="bullet"/>
      <w:start w:val="1"/>
    </w:lvl>
  </w:abstractNum>
  <w:abstractNum w:abstractNumId="19">
    <w:nsid w:val="63F37E85"/>
    <w:multiLevelType w:val="hybridMultilevel"/>
    <w:lvl w:ilvl="0">
      <w:lvlJc w:val="left"/>
      <w:lvlText w:val="•"/>
      <w:numFmt w:val="bullet"/>
      <w:start w:val="1"/>
    </w:lvl>
  </w:abstractNum>
  <w:abstractNum w:abstractNumId="20">
    <w:nsid w:val="5895F5FA"/>
    <w:multiLevelType w:val="hybridMultilevel"/>
    <w:lvl w:ilvl="0">
      <w:lvlJc w:val="left"/>
      <w:lvlText w:val="•"/>
      <w:numFmt w:val="bullet"/>
      <w:start w:val="1"/>
    </w:lvl>
  </w:abstractNum>
  <w:abstractNum w:abstractNumId="21">
    <w:nsid w:val="38A5D054"/>
    <w:multiLevelType w:val="hybridMultilevel"/>
    <w:lvl w:ilvl="0">
      <w:lvlJc w:val="left"/>
      <w:lvlText w:val="•"/>
      <w:numFmt w:val="bullet"/>
      <w:start w:val="1"/>
    </w:lvl>
  </w:abstractNum>
  <w:abstractNum w:abstractNumId="22">
    <w:nsid w:val="F3F09D8"/>
    <w:multiLevelType w:val="hybridMultilevel"/>
    <w:lvl w:ilvl="0">
      <w:lvlJc w:val="left"/>
      <w:lvlText w:val="•"/>
      <w:numFmt w:val="bullet"/>
      <w:start w:val="1"/>
    </w:lvl>
  </w:abstractNum>
  <w:abstractNum w:abstractNumId="23">
    <w:nsid w:val="4B793735"/>
    <w:multiLevelType w:val="hybridMultilevel"/>
    <w:lvl w:ilvl="0">
      <w:lvlJc w:val="left"/>
      <w:lvlText w:val="•"/>
      <w:numFmt w:val="bullet"/>
      <w:start w:val="1"/>
    </w:lvl>
  </w:abstractNum>
  <w:abstractNum w:abstractNumId="24">
    <w:nsid w:val="4A10B4E8"/>
    <w:multiLevelType w:val="hybridMultilevel"/>
    <w:lvl w:ilvl="0">
      <w:lvlJc w:val="left"/>
      <w:lvlText w:val="•"/>
      <w:numFmt w:val="bullet"/>
      <w:start w:val="1"/>
    </w:lvl>
  </w:abstractNum>
  <w:abstractNum w:abstractNumId="25">
    <w:nsid w:val="43D3BCD4"/>
    <w:multiLevelType w:val="hybridMultilevel"/>
    <w:lvl w:ilvl="0">
      <w:lvlJc w:val="left"/>
      <w:lvlText w:val="•"/>
      <w:numFmt w:val="bullet"/>
      <w:start w:val="1"/>
    </w:lvl>
  </w:abstractNum>
  <w:abstractNum w:abstractNumId="26">
    <w:nsid w:val="4C2A7166"/>
    <w:multiLevelType w:val="hybridMultilevel"/>
    <w:lvl w:ilvl="0">
      <w:lvlJc w:val="left"/>
      <w:lvlText w:val="•"/>
      <w:numFmt w:val="bullet"/>
      <w:start w:val="1"/>
    </w:lvl>
  </w:abstractNum>
  <w:abstractNum w:abstractNumId="27">
    <w:nsid w:val="2E534A82"/>
    <w:multiLevelType w:val="hybridMultilevel"/>
    <w:lvl w:ilvl="0">
      <w:lvlJc w:val="left"/>
      <w:lvlText w:val="•"/>
      <w:numFmt w:val="bullet"/>
      <w:start w:val="1"/>
    </w:lvl>
  </w:abstractNum>
  <w:abstractNum w:abstractNumId="28">
    <w:nsid w:val="26F2D364"/>
    <w:multiLevelType w:val="hybridMultilevel"/>
    <w:lvl w:ilvl="0">
      <w:lvlJc w:val="left"/>
      <w:lvlText w:val="•"/>
      <w:numFmt w:val="bullet"/>
      <w:start w:val="1"/>
    </w:lvl>
  </w:abstractNum>
  <w:abstractNum w:abstractNumId="29">
    <w:nsid w:val="71C1AF98"/>
    <w:multiLevelType w:val="hybridMultilevel"/>
    <w:lvl w:ilvl="0">
      <w:lvlJc w:val="left"/>
      <w:lvlText w:val="•"/>
      <w:numFmt w:val="bullet"/>
      <w:start w:val="1"/>
    </w:lvl>
  </w:abstractNum>
  <w:abstractNum w:abstractNumId="30">
    <w:nsid w:val="3D00B9D9"/>
    <w:multiLevelType w:val="hybridMultilevel"/>
    <w:lvl w:ilvl="0">
      <w:lvlJc w:val="left"/>
      <w:lvlText w:val="•"/>
      <w:numFmt w:val="bullet"/>
      <w:start w:val="1"/>
    </w:lvl>
  </w:abstractNum>
  <w:abstractNum w:abstractNumId="31">
    <w:nsid w:val="15BCABA8"/>
    <w:multiLevelType w:val="hybridMultilevel"/>
    <w:lvl w:ilvl="0">
      <w:lvlJc w:val="left"/>
      <w:lvlText w:val="-"/>
      <w:numFmt w:val="bullet"/>
      <w:start w:val="1"/>
    </w:lvl>
  </w:abstractNum>
  <w:abstractNum w:abstractNumId="32">
    <w:nsid w:val="4E0B9A87"/>
    <w:multiLevelType w:val="hybridMultilevel"/>
    <w:lvl w:ilvl="0">
      <w:lvlJc w:val="left"/>
      <w:lvlText w:val="%1."/>
      <w:numFmt w:val="decimal"/>
      <w:start w:val="1"/>
    </w:lvl>
  </w:abstractNum>
  <w:abstractNum w:abstractNumId="33">
    <w:nsid w:val="434BAE75"/>
    <w:multiLevelType w:val="hybridMultilevel"/>
    <w:lvl w:ilvl="0">
      <w:lvlJc w:val="left"/>
      <w:lvlText w:val="%1."/>
      <w:numFmt w:val="decimal"/>
      <w:start w:val="2"/>
    </w:lvl>
  </w:abstractNum>
  <w:abstractNum w:abstractNumId="34">
    <w:nsid w:val="4F38F265"/>
    <w:multiLevelType w:val="hybridMultilevel"/>
    <w:lvl w:ilvl="0">
      <w:lvlJc w:val="left"/>
      <w:lvlText w:val="•"/>
      <w:numFmt w:val="bullet"/>
      <w:start w:val="1"/>
    </w:lvl>
  </w:abstractNum>
  <w:abstractNum w:abstractNumId="35">
    <w:nsid w:val="4C502870"/>
    <w:multiLevelType w:val="hybridMultilevel"/>
    <w:lvl w:ilvl="0">
      <w:lvlJc w:val="left"/>
      <w:lvlText w:val="%1."/>
      <w:numFmt w:val="decimal"/>
      <w:start w:val="3"/>
    </w:lvl>
  </w:abstractNum>
  <w:abstractNum w:abstractNumId="36">
    <w:nsid w:val="1DE8725A"/>
    <w:multiLevelType w:val="hybridMultilevel"/>
    <w:lvl w:ilvl="0">
      <w:lvlJc w:val="left"/>
      <w:lvlText w:val="%1."/>
      <w:numFmt w:val="decimal"/>
      <w:start w:val="4"/>
    </w:lvl>
  </w:abstractNum>
  <w:abstractNum w:abstractNumId="37">
    <w:nsid w:val="6A37288A"/>
    <w:multiLevelType w:val="hybridMultilevel"/>
    <w:lvl w:ilvl="0">
      <w:lvlJc w:val="left"/>
      <w:lvlText w:val="(%1)"/>
      <w:numFmt w:val="decimal"/>
      <w:start w:val="1"/>
    </w:lvl>
  </w:abstractNum>
  <w:abstractNum w:abstractNumId="38">
    <w:nsid w:val="8F8B73F"/>
    <w:multiLevelType w:val="hybridMultilevel"/>
    <w:lvl w:ilvl="0">
      <w:lvlJc w:val="left"/>
      <w:lvlText w:val="(%1)"/>
      <w:numFmt w:val="decimal"/>
      <w:start w:val="2"/>
    </w:lvl>
  </w:abstractNum>
  <w:abstractNum w:abstractNumId="39">
    <w:nsid w:val="CA6B462"/>
    <w:multiLevelType w:val="hybridMultilevel"/>
    <w:lvl w:ilvl="0">
      <w:lvlJc w:val="left"/>
      <w:lvlText w:val="%1."/>
      <w:numFmt w:val="decimal"/>
      <w:start w:val="5"/>
    </w:lvl>
  </w:abstractNum>
  <w:abstractNum w:abstractNumId="40">
    <w:nsid w:val="763CB680"/>
    <w:multiLevelType w:val="hybridMultilevel"/>
    <w:lvl w:ilvl="0">
      <w:lvlJc w:val="left"/>
      <w:lvlText w:val="%1."/>
      <w:numFmt w:val="decimal"/>
      <w:start w:val="6"/>
    </w:lvl>
  </w:abstractNum>
  <w:abstractNum w:abstractNumId="41">
    <w:nsid w:val="15B71329"/>
    <w:multiLevelType w:val="hybridMultilevel"/>
    <w:lvl w:ilvl="0">
      <w:lvlJc w:val="left"/>
      <w:lvlText w:val="%1."/>
      <w:numFmt w:val="decimal"/>
      <w:start w:val="7"/>
    </w:lvl>
  </w:abstractNum>
  <w:abstractNum w:abstractNumId="42">
    <w:nsid w:val="3DA97044"/>
    <w:multiLevelType w:val="hybridMultilevel"/>
    <w:lvl w:ilvl="0">
      <w:lvlJc w:val="left"/>
      <w:lvlText w:val="%1."/>
      <w:numFmt w:val="decimal"/>
      <w:start w:val="8"/>
    </w:lvl>
  </w:abstractNum>
  <w:abstractNum w:abstractNumId="43">
    <w:nsid w:val="1CDCE2DE"/>
    <w:multiLevelType w:val="hybridMultilevel"/>
    <w:lvl w:ilvl="0">
      <w:lvlJc w:val="left"/>
      <w:lvlText w:val="%1."/>
      <w:numFmt w:val="decimal"/>
      <w:start w:val="9"/>
    </w:lvl>
  </w:abstractNum>
  <w:abstractNum w:abstractNumId="44">
    <w:nsid w:val="69D3947C"/>
    <w:multiLevelType w:val="hybridMultilevel"/>
    <w:lvl w:ilvl="0">
      <w:lvlJc w:val="left"/>
      <w:lvlText w:val="%1."/>
      <w:numFmt w:val="decimal"/>
      <w:start w:val="11"/>
    </w:lvl>
  </w:abstractNum>
  <w:abstractNum w:abstractNumId="45">
    <w:nsid w:val="2539DFA5"/>
    <w:multiLevelType w:val="hybridMultilevel"/>
    <w:lvl w:ilvl="0">
      <w:lvlJc w:val="left"/>
      <w:lvlText w:val="%1."/>
      <w:numFmt w:val="decimal"/>
      <w:start w:val="12"/>
    </w:lvl>
  </w:abstractNum>
  <w:abstractNum w:abstractNumId="46">
    <w:nsid w:val="2DB88089"/>
    <w:multiLevelType w:val="hybridMultilevel"/>
    <w:lvl w:ilvl="0">
      <w:lvlJc w:val="left"/>
      <w:lvlText w:val="•"/>
      <w:numFmt w:val="bullet"/>
      <w:start w:val="1"/>
    </w:lvl>
  </w:abstractNum>
  <w:abstractNum w:abstractNumId="47">
    <w:nsid w:val="706B674E"/>
    <w:multiLevelType w:val="hybridMultilevel"/>
    <w:lvl w:ilvl="0">
      <w:lvlJc w:val="left"/>
      <w:lvlText w:val="•"/>
      <w:numFmt w:val="bullet"/>
      <w:start w:val="1"/>
    </w:lvl>
  </w:abstractNum>
  <w:abstractNum w:abstractNumId="48">
    <w:nsid w:val="2C106A57"/>
    <w:multiLevelType w:val="hybridMultilevel"/>
    <w:lvl w:ilvl="0">
      <w:lvlJc w:val="left"/>
      <w:lvlText w:val="$"/>
      <w:numFmt w:val="bullet"/>
      <w:start w:val="1"/>
    </w:lvl>
  </w:abstractNum>
  <w:abstractNum w:abstractNumId="49">
    <w:nsid w:val="684EED59"/>
    <w:multiLevelType w:val="hybridMultilevel"/>
    <w:lvl w:ilvl="0">
      <w:lvlJc w:val="left"/>
      <w:lvlText w:val="$"/>
      <w:numFmt w:val="bullet"/>
      <w:start w:val="1"/>
    </w:lvl>
  </w:abstractNum>
  <w:abstractNum w:abstractNumId="50">
    <w:nsid w:val="545EE5D3"/>
    <w:multiLevelType w:val="hybridMultilevel"/>
    <w:lvl w:ilvl="0">
      <w:lvlJc w:val="left"/>
      <w:lvlText w:val="(%1)"/>
      <w:numFmt w:val="lowerLetter"/>
      <w:start w:val="1"/>
    </w:lvl>
    <w:lvl w:ilvl="1">
      <w:lvlJc w:val="left"/>
      <w:lvlText w:val="%2."/>
      <w:numFmt w:val="decimal"/>
      <w:start w:val="1"/>
    </w:lvl>
  </w:abstractNum>
  <w:abstractNum w:abstractNumId="51">
    <w:nsid w:val="4A66051"/>
    <w:multiLevelType w:val="hybridMultilevel"/>
    <w:lvl w:ilvl="0">
      <w:lvlJc w:val="left"/>
      <w:lvlText w:val="(%1)"/>
      <w:numFmt w:val="lowerLetter"/>
      <w:start w:val="2"/>
    </w:lvl>
  </w:abstractNum>
  <w:abstractNum w:abstractNumId="52">
    <w:nsid w:val="20F4BDAD"/>
    <w:multiLevelType w:val="hybridMultilevel"/>
    <w:lvl w:ilvl="0">
      <w:lvlJc w:val="left"/>
      <w:lvlText w:val="†"/>
      <w:numFmt w:val="bullet"/>
      <w:start w:val="1"/>
    </w:lvl>
  </w:abstractNum>
  <w:abstractNum w:abstractNumId="53">
    <w:nsid w:val="639DEFAC"/>
    <w:multiLevelType w:val="hybridMultilevel"/>
    <w:lvl w:ilvl="0">
      <w:lvlJc w:val="left"/>
      <w:lvlText w:val="(%1)"/>
      <w:numFmt w:val="decimal"/>
      <w:start w:val="1"/>
    </w:lvl>
  </w:abstractNum>
  <w:abstractNum w:abstractNumId="54">
    <w:nsid w:val="501F9786"/>
    <w:multiLevelType w:val="hybridMultilevel"/>
    <w:lvl w:ilvl="0">
      <w:lvlJc w:val="left"/>
      <w:lvlText w:val="(%1)"/>
      <w:numFmt w:val="lowerLetter"/>
      <w:start w:val="3"/>
    </w:lvl>
  </w:abstractNum>
  <w:abstractNum w:abstractNumId="55">
    <w:nsid w:val="6B057295"/>
    <w:multiLevelType w:val="hybridMultilevel"/>
    <w:lvl w:ilvl="0">
      <w:lvlJc w:val="left"/>
      <w:lvlText w:val="%1."/>
      <w:numFmt w:val="decimal"/>
      <w:start w:val="1"/>
    </w:lvl>
  </w:abstractNum>
  <w:abstractNum w:abstractNumId="56">
    <w:nsid w:val="2771AC80"/>
    <w:multiLevelType w:val="hybridMultilevel"/>
    <w:lvl w:ilvl="0">
      <w:lvlJc w:val="left"/>
      <w:lvlText w:val="(%1)"/>
      <w:numFmt w:val="lowerLetter"/>
      <w:start w:val="1"/>
    </w:lvl>
  </w:abstractNum>
  <w:abstractNum w:abstractNumId="57">
    <w:nsid w:val="1C4A08EC"/>
    <w:multiLevelType w:val="hybridMultilevel"/>
    <w:lvl w:ilvl="0">
      <w:lvlJc w:val="left"/>
      <w:lvlText w:val="(%1)"/>
      <w:numFmt w:val="lowerRoman"/>
      <w:start w:val="1"/>
    </w:lvl>
  </w:abstractNum>
  <w:abstractNum w:abstractNumId="58">
    <w:nsid w:val="1958BD17"/>
    <w:multiLevelType w:val="hybridMultilevel"/>
    <w:lvl w:ilvl="0">
      <w:lvlJc w:val="left"/>
      <w:lvlText w:val="(%1)"/>
      <w:numFmt w:val="lowerLetter"/>
      <w:start w:val="2"/>
    </w:lvl>
  </w:abstractNum>
  <w:abstractNum w:abstractNumId="59">
    <w:nsid w:val="4E647FE4"/>
    <w:multiLevelType w:val="hybridMultilevel"/>
    <w:lvl w:ilvl="0">
      <w:lvlJc w:val="left"/>
      <w:lvlText w:val="(%1)"/>
      <w:numFmt w:val="lowerLetter"/>
      <w:start w:val="4"/>
    </w:lvl>
  </w:abstractNum>
  <w:abstractNum w:abstractNumId="60">
    <w:nsid w:val="E0BB885"/>
    <w:multiLevelType w:val="hybridMultilevel"/>
    <w:lvl w:ilvl="0">
      <w:lvlJc w:val="left"/>
      <w:lvlText w:val="%1."/>
      <w:numFmt w:val="decimal"/>
      <w:start w:val="2"/>
    </w:lvl>
  </w:abstractNum>
  <w:abstractNum w:abstractNumId="61">
    <w:nsid w:val="565976F1"/>
    <w:multiLevelType w:val="hybridMultilevel"/>
    <w:lvl w:ilvl="0">
      <w:lvlJc w:val="left"/>
      <w:lvlText w:val="(%1)"/>
      <w:numFmt w:val="lowerLetter"/>
      <w:start w:val="1"/>
    </w:lvl>
  </w:abstractNum>
  <w:abstractNum w:abstractNumId="62">
    <w:nsid w:val="64212B8C"/>
    <w:multiLevelType w:val="hybridMultilevel"/>
    <w:lvl w:ilvl="0">
      <w:lvlJc w:val="left"/>
      <w:lvlText w:val="(%1)"/>
      <w:numFmt w:val="lowerRoman"/>
      <w:start w:val="1"/>
    </w:lvl>
  </w:abstractNum>
  <w:abstractNum w:abstractNumId="63">
    <w:nsid w:val="5C17530C"/>
    <w:multiLevelType w:val="hybridMultilevel"/>
    <w:lvl w:ilvl="0">
      <w:lvlJc w:val="left"/>
      <w:lvlText w:val="(%1)"/>
      <w:numFmt w:val="lowerRoman"/>
      <w:start w:val="7"/>
    </w:lvl>
  </w:abstractNum>
  <w:abstractNum w:abstractNumId="64">
    <w:nsid w:val="19A52566"/>
    <w:multiLevelType w:val="hybridMultilevel"/>
    <w:lvl w:ilvl="0">
      <w:lvlJc w:val="left"/>
      <w:lvlText w:val="(%1)"/>
      <w:numFmt w:val="lowerLetter"/>
      <w:start w:val="3"/>
    </w:lvl>
  </w:abstractNum>
  <w:abstractNum w:abstractNumId="65">
    <w:nsid w:val="335A1DF1"/>
    <w:multiLevelType w:val="hybridMultilevel"/>
    <w:lvl w:ilvl="0">
      <w:lvlJc w:val="left"/>
      <w:lvlText w:val="(%1)"/>
      <w:numFmt w:val="lowerRoman"/>
      <w:start w:val="1"/>
    </w:lvl>
  </w:abstractNum>
  <w:abstractNum w:abstractNumId="66">
    <w:nsid w:val="28677B7C"/>
    <w:multiLevelType w:val="hybridMultilevel"/>
    <w:lvl w:ilvl="0">
      <w:lvlJc w:val="left"/>
      <w:lvlText w:val="(%1)"/>
      <w:numFmt w:val="lowerLetter"/>
      <w:start w:val="4"/>
    </w:lvl>
  </w:abstractNum>
  <w:abstractNum w:abstractNumId="67">
    <w:nsid w:val="378D97C0"/>
    <w:multiLevelType w:val="hybridMultilevel"/>
    <w:lvl w:ilvl="0">
      <w:lvlJc w:val="left"/>
      <w:lvlText w:val="%1."/>
      <w:numFmt w:val="decimal"/>
      <w:start w:val="3"/>
    </w:lvl>
  </w:abstractNum>
  <w:abstractNum w:abstractNumId="68">
    <w:nsid w:val="1D91467C"/>
    <w:multiLevelType w:val="hybridMultilevel"/>
    <w:lvl w:ilvl="0">
      <w:lvlJc w:val="left"/>
      <w:lvlText w:val="(%1)"/>
      <w:numFmt w:val="lowerLetter"/>
      <w:start w:val="1"/>
    </w:lvl>
  </w:abstractNum>
  <w:abstractNum w:abstractNumId="69">
    <w:nsid w:val="316032BB"/>
    <w:multiLevelType w:val="hybridMultilevel"/>
    <w:lvl w:ilvl="0">
      <w:lvlJc w:val="left"/>
      <w:lvlText w:val="(%1)"/>
      <w:numFmt w:val="lowerRoman"/>
      <w:start w:val="1"/>
    </w:lvl>
  </w:abstractNum>
  <w:abstractNum w:abstractNumId="70">
    <w:nsid w:val="44344C22"/>
    <w:multiLevelType w:val="hybridMultilevel"/>
    <w:lvl w:ilvl="0">
      <w:lvlJc w:val="left"/>
      <w:lvlText w:val="(%1)"/>
      <w:numFmt w:val="lowerLetter"/>
      <w:start w:val="2"/>
    </w:lvl>
  </w:abstractNum>
  <w:abstractNum w:abstractNumId="71">
    <w:nsid w:val="13CDFCFC"/>
    <w:multiLevelType w:val="hybridMultilevel"/>
    <w:lvl w:ilvl="0">
      <w:lvlJc w:val="left"/>
      <w:lvlText w:val="%1."/>
      <w:numFmt w:val="decimal"/>
      <w:start w:val="4"/>
    </w:lvl>
  </w:abstractNum>
  <w:abstractNum w:abstractNumId="72">
    <w:nsid w:val="471745E4"/>
    <w:multiLevelType w:val="hybridMultilevel"/>
    <w:lvl w:ilvl="0">
      <w:lvlJc w:val="left"/>
      <w:lvlText w:val="(%1)"/>
      <w:numFmt w:val="lowerLetter"/>
      <w:start w:val="1"/>
    </w:lvl>
  </w:abstractNum>
  <w:abstractNum w:abstractNumId="73">
    <w:nsid w:val="1DDBC66"/>
    <w:multiLevelType w:val="hybridMultilevel"/>
    <w:lvl w:ilvl="0">
      <w:lvlJc w:val="left"/>
      <w:lvlText w:val="%1."/>
      <w:numFmt w:val="decimal"/>
      <w:start w:val="5"/>
    </w:lvl>
  </w:abstractNum>
  <w:abstractNum w:abstractNumId="74">
    <w:nsid w:val="30AADFDA"/>
    <w:multiLevelType w:val="hybridMultilevel"/>
    <w:lvl w:ilvl="0">
      <w:lvlJc w:val="left"/>
      <w:lvlText w:val="(%1)"/>
      <w:numFmt w:val="lowerLetter"/>
      <w:start w:val="1"/>
    </w:lvl>
  </w:abstractNum>
  <w:abstractNum w:abstractNumId="75">
    <w:nsid w:val="30EADA61"/>
    <w:multiLevelType w:val="hybridMultilevel"/>
    <w:lvl w:ilvl="0">
      <w:lvlJc w:val="left"/>
      <w:lvlText w:val="(%1)"/>
      <w:numFmt w:val="lowerRoman"/>
      <w:start w:val="1"/>
    </w:lvl>
  </w:abstractNum>
  <w:abstractNum w:abstractNumId="76">
    <w:nsid w:val="27179C0B"/>
    <w:multiLevelType w:val="hybridMultilevel"/>
    <w:lvl w:ilvl="0">
      <w:lvlJc w:val="left"/>
      <w:lvlText w:val="(%1)"/>
      <w:numFmt w:val="lowerRoman"/>
      <w:start w:val="4"/>
    </w:lvl>
  </w:abstractNum>
  <w:abstractNum w:abstractNumId="77">
    <w:nsid w:val="5E636063"/>
    <w:multiLevelType w:val="hybridMultilevel"/>
    <w:lvl w:ilvl="0">
      <w:lvlJc w:val="left"/>
      <w:lvlText w:val="(%1)"/>
      <w:numFmt w:val="lowerLetter"/>
      <w:start w:val="4"/>
    </w:lvl>
  </w:abstractNum>
  <w:abstractNum w:abstractNumId="78">
    <w:nsid w:val="215641AF"/>
    <w:multiLevelType w:val="hybridMultilevel"/>
    <w:lvl w:ilvl="0">
      <w:lvlJc w:val="left"/>
      <w:lvlText w:val="(%1)"/>
      <w:numFmt w:val="lowerRoman"/>
      <w:start w:val="1"/>
    </w:lvl>
  </w:abstractNum>
  <w:abstractNum w:abstractNumId="79">
    <w:nsid w:val="53280662"/>
    <w:multiLevelType w:val="hybridMultilevel"/>
    <w:lvl w:ilvl="0">
      <w:lvlJc w:val="left"/>
      <w:lvlText w:val="(%1)"/>
      <w:numFmt w:val="lowerRoman"/>
      <w:start w:val="3"/>
    </w:lvl>
  </w:abstractNum>
  <w:abstractNum w:abstractNumId="80">
    <w:nsid w:val="46B24DBC"/>
    <w:multiLevelType w:val="hybridMultilevel"/>
    <w:lvl w:ilvl="0">
      <w:lvlJc w:val="left"/>
      <w:lvlText w:val="(%1)"/>
      <w:numFmt w:val="lowerLetter"/>
      <w:start w:val="6"/>
    </w:lvl>
  </w:abstractNum>
  <w:abstractNum w:abstractNumId="81">
    <w:nsid w:val="75B52783"/>
    <w:multiLevelType w:val="hybridMultilevel"/>
    <w:lvl w:ilvl="0">
      <w:lvlJc w:val="left"/>
      <w:lvlText w:val="(%1)"/>
      <w:numFmt w:val="lowerLetter"/>
      <w:start w:val="9"/>
    </w:lvl>
  </w:abstractNum>
  <w:abstractNum w:abstractNumId="82">
    <w:nsid w:val="57CE66B4"/>
    <w:multiLevelType w:val="hybridMultilevel"/>
    <w:lvl w:ilvl="0">
      <w:lvlJc w:val="left"/>
      <w:lvlText w:val="%1."/>
      <w:numFmt w:val="decimal"/>
      <w:start w:val="6"/>
    </w:lvl>
  </w:abstractNum>
  <w:abstractNum w:abstractNumId="83">
    <w:nsid w:val="67A70B69"/>
    <w:multiLevelType w:val="hybridMultilevel"/>
    <w:lvl w:ilvl="0">
      <w:lvlJc w:val="left"/>
      <w:lvlText w:val="(%1)"/>
      <w:numFmt w:val="lowerLetter"/>
      <w:start w:val="1"/>
    </w:lvl>
  </w:abstractNum>
  <w:abstractNum w:abstractNumId="84">
    <w:nsid w:val="5953172F"/>
    <w:multiLevelType w:val="hybridMultilevel"/>
    <w:lvl w:ilvl="0">
      <w:lvlJc w:val="left"/>
      <w:lvlText w:val="(%1)"/>
      <w:numFmt w:val="lowerRoman"/>
      <w:start w:val="1"/>
    </w:lvl>
  </w:abstractNum>
  <w:abstractNum w:abstractNumId="85">
    <w:nsid w:val="27EDFE3A"/>
    <w:multiLevelType w:val="hybridMultilevel"/>
    <w:lvl w:ilvl="0">
      <w:lvlJc w:val="left"/>
      <w:lvlText w:val="(%1)"/>
      <w:numFmt w:val="lowerLetter"/>
      <w:start w:val="2"/>
    </w:lvl>
  </w:abstractNum>
  <w:abstractNum w:abstractNumId="86">
    <w:nsid w:val="52AC7DFF"/>
    <w:multiLevelType w:val="hybridMultilevel"/>
    <w:lvl w:ilvl="0">
      <w:lvlJc w:val="left"/>
      <w:lvlText w:val="(%1)"/>
      <w:numFmt w:val="lowerRoman"/>
      <w:start w:val="1"/>
    </w:lvl>
  </w:abstractNum>
  <w:abstractNum w:abstractNumId="87">
    <w:nsid w:val="C4C3AF"/>
    <w:multiLevelType w:val="hybridMultilevel"/>
    <w:lvl w:ilvl="0">
      <w:lvlJc w:val="left"/>
      <w:lvlText w:val="(%1)"/>
      <w:numFmt w:val="lowerLetter"/>
      <w:start w:val="3"/>
    </w:lvl>
  </w:abstractNum>
  <w:abstractNum w:abstractNumId="88">
    <w:nsid w:val="44380727"/>
    <w:multiLevelType w:val="hybridMultilevel"/>
    <w:lvl w:ilvl="0">
      <w:lvlJc w:val="left"/>
      <w:lvlText w:val="(%1)"/>
      <w:numFmt w:val="lowerRoman"/>
      <w:start w:val="1"/>
    </w:lvl>
  </w:abstractNum>
  <w:abstractNum w:abstractNumId="89">
    <w:nsid w:val="6C053B16"/>
    <w:multiLevelType w:val="hybridMultilevel"/>
    <w:lvl w:ilvl="0">
      <w:lvlJc w:val="left"/>
      <w:lvlText w:val="(%1)"/>
      <w:numFmt w:val="lowerRoman"/>
      <w:start w:val="2"/>
    </w:lvl>
  </w:abstractNum>
  <w:abstractNum w:abstractNumId="90">
    <w:nsid w:val="4F294393"/>
    <w:multiLevelType w:val="hybridMultilevel"/>
    <w:lvl w:ilvl="0">
      <w:lvlJc w:val="left"/>
      <w:lvlText w:val="(%1)"/>
      <w:numFmt w:val="lowerLetter"/>
      <w:start w:val="4"/>
    </w:lvl>
  </w:abstractNum>
  <w:abstractNum w:abstractNumId="91">
    <w:nsid w:val="5243BFAC"/>
    <w:multiLevelType w:val="hybridMultilevel"/>
    <w:lvl w:ilvl="0">
      <w:lvlJc w:val="left"/>
      <w:lvlText w:val="%1."/>
      <w:numFmt w:val="decimal"/>
      <w:start w:val="7"/>
    </w:lvl>
  </w:abstractNum>
  <w:abstractNum w:abstractNumId="92">
    <w:nsid w:val="425EB207"/>
    <w:multiLevelType w:val="hybridMultilevel"/>
    <w:lvl w:ilvl="0">
      <w:lvlJc w:val="left"/>
      <w:lvlText w:val="(%1)"/>
      <w:numFmt w:val="lowerLetter"/>
      <w:start w:val="1"/>
    </w:lvl>
  </w:abstractNum>
  <w:abstractNum w:abstractNumId="93">
    <w:nsid w:val="334A6F1F"/>
    <w:multiLevelType w:val="hybridMultilevel"/>
    <w:lvl w:ilvl="0">
      <w:lvlJc w:val="left"/>
      <w:lvlText w:val="%1."/>
      <w:numFmt w:val="decimal"/>
      <w:start w:val="8"/>
    </w:lvl>
  </w:abstractNum>
  <w:abstractNum w:abstractNumId="94">
    <w:nsid w:val="2E5B12B8"/>
    <w:multiLevelType w:val="hybridMultilevel"/>
    <w:lvl w:ilvl="0">
      <w:lvlJc w:val="left"/>
      <w:lvlText w:val="(%1)"/>
      <w:numFmt w:val="lowerLetter"/>
      <w:start w:val="1"/>
    </w:lvl>
  </w:abstractNum>
  <w:abstractNum w:abstractNumId="95">
    <w:nsid w:val="5C03D76D"/>
    <w:multiLevelType w:val="hybridMultilevel"/>
    <w:lvl w:ilvl="0">
      <w:lvlJc w:val="left"/>
      <w:lvlText w:val="(%1)"/>
      <w:numFmt w:val="lowerLetter"/>
      <w:start w:val="24"/>
    </w:lvl>
  </w:abstractNum>
  <w:abstractNum w:abstractNumId="96">
    <w:nsid w:val="66A48D11"/>
    <w:multiLevelType w:val="hybridMultilevel"/>
    <w:lvl w:ilvl="0">
      <w:lvlJc w:val="left"/>
      <w:lvlText w:val="(%1)"/>
      <w:numFmt w:val="lowerLetter"/>
      <w:start w:val="6"/>
    </w:lvl>
  </w:abstractNum>
  <w:abstractNum w:abstractNumId="97">
    <w:nsid w:val="56C28E34"/>
    <w:multiLevelType w:val="hybridMultilevel"/>
    <w:lvl w:ilvl="0">
      <w:lvlJc w:val="left"/>
      <w:lvlText w:val="(%1)"/>
      <w:numFmt w:val="lowerLetter"/>
      <w:start w:val="7"/>
    </w:lvl>
  </w:abstractNum>
  <w:abstractNum w:abstractNumId="98">
    <w:nsid w:val="13916F2D"/>
    <w:multiLevelType w:val="hybridMultilevel"/>
    <w:lvl w:ilvl="0">
      <w:lvlJc w:val="left"/>
      <w:lvlText w:val="(%1)"/>
      <w:numFmt w:val="lowerLetter"/>
      <w:start w:val="11"/>
    </w:lvl>
  </w:abstractNum>
  <w:abstractNum w:abstractNumId="99">
    <w:nsid w:val="435D38D"/>
    <w:multiLevelType w:val="hybridMultilevel"/>
    <w:lvl w:ilvl="0">
      <w:lvlJc w:val="left"/>
      <w:lvlText w:val="%1."/>
      <w:numFmt w:val="decimal"/>
      <w:start w:val="9"/>
    </w:lvl>
  </w:abstractNum>
  <w:abstractNum w:abstractNumId="100">
    <w:nsid w:val="822C0EF"/>
    <w:multiLevelType w:val="hybridMultilevel"/>
    <w:lvl w:ilvl="0">
      <w:lvlJc w:val="left"/>
      <w:lvlText w:val="(%1)"/>
      <w:numFmt w:val="lowerLetter"/>
      <w:start w:val="1"/>
    </w:lvl>
  </w:abstractNum>
  <w:abstractNum w:abstractNumId="101">
    <w:nsid w:val="57C5BB4F"/>
    <w:multiLevelType w:val="hybridMultilevel"/>
    <w:lvl w:ilvl="0">
      <w:lvlJc w:val="left"/>
      <w:lvlText w:val="(%1)"/>
      <w:numFmt w:val="lowerRoman"/>
      <w:start w:val="1"/>
    </w:lvl>
  </w:abstractNum>
  <w:abstractNum w:abstractNumId="102">
    <w:nsid w:val="1803D089"/>
    <w:multiLevelType w:val="hybridMultilevel"/>
    <w:lvl w:ilvl="0">
      <w:lvlJc w:val="left"/>
      <w:lvlText w:val="(%1)"/>
      <w:numFmt w:val="lowerRoman"/>
      <w:start w:val="2"/>
    </w:lvl>
  </w:abstractNum>
  <w:abstractNum w:abstractNumId="103">
    <w:nsid w:val="4F3A06D4"/>
    <w:multiLevelType w:val="hybridMultilevel"/>
    <w:lvl w:ilvl="0">
      <w:lvlJc w:val="left"/>
      <w:lvlText w:val="(%1)"/>
      <w:numFmt w:val="lowerLetter"/>
      <w:start w:val="4"/>
    </w:lvl>
  </w:abstractNum>
  <w:abstractNum w:abstractNumId="104">
    <w:nsid w:val="59A377B6"/>
    <w:multiLevelType w:val="hybridMultilevel"/>
    <w:lvl w:ilvl="0">
      <w:lvlJc w:val="left"/>
      <w:lvlText w:val="%1."/>
      <w:numFmt w:val="decimal"/>
      <w:start w:val="10"/>
    </w:lvl>
  </w:abstractNum>
  <w:abstractNum w:abstractNumId="105">
    <w:nsid w:val="48AEB063"/>
    <w:multiLevelType w:val="hybridMultilevel"/>
    <w:lvl w:ilvl="0">
      <w:lvlJc w:val="left"/>
      <w:lvlText w:val="%1."/>
      <w:numFmt w:val="decimal"/>
      <w:start w:val="11"/>
    </w:lvl>
  </w:abstractNum>
  <w:abstractNum w:abstractNumId="106">
    <w:nsid w:val="24E135"/>
    <w:multiLevelType w:val="hybridMultilevel"/>
    <w:lvl w:ilvl="0">
      <w:lvlJc w:val="left"/>
      <w:lvlText w:val="%1."/>
      <w:numFmt w:val="decimal"/>
      <w:start w:val="12"/>
    </w:lvl>
  </w:abstractNum>
  <w:abstractNum w:abstractNumId="107">
    <w:nsid w:val="BB13C1"/>
    <w:multiLevelType w:val="hybridMultilevel"/>
    <w:lvl w:ilvl="0">
      <w:lvlJc w:val="left"/>
      <w:lvlText w:val="%1."/>
      <w:numFmt w:val="decimal"/>
      <w:start w:val="13"/>
    </w:lvl>
  </w:abstractNum>
  <w:abstractNum w:abstractNumId="108">
    <w:nsid w:val="271210C7"/>
    <w:multiLevelType w:val="hybridMultilevel"/>
    <w:lvl w:ilvl="0">
      <w:lvlJc w:val="left"/>
      <w:lvlText w:val="(%1)"/>
      <w:numFmt w:val="lowerLetter"/>
      <w:start w:val="1"/>
    </w:lvl>
  </w:abstractNum>
  <w:abstractNum w:abstractNumId="109">
    <w:nsid w:val="217B22E4"/>
    <w:multiLevelType w:val="hybridMultilevel"/>
    <w:lvl w:ilvl="0">
      <w:lvlJc w:val="left"/>
      <w:lvlText w:val="(%1)"/>
      <w:numFmt w:val="lowerRoman"/>
      <w:start w:val="1"/>
    </w:lvl>
  </w:abstractNum>
  <w:abstractNum w:abstractNumId="110">
    <w:nsid w:val="53E31A24"/>
    <w:multiLevelType w:val="hybridMultilevel"/>
    <w:lvl w:ilvl="0">
      <w:lvlJc w:val="left"/>
      <w:lvlText w:val="(%1)"/>
      <w:numFmt w:val="lowerRoman"/>
      <w:start w:val="1"/>
    </w:lvl>
  </w:abstractNum>
  <w:abstractNum w:abstractNumId="111">
    <w:nsid w:val="6DC45E83"/>
    <w:multiLevelType w:val="hybridMultilevel"/>
    <w:lvl w:ilvl="0">
      <w:lvlJc w:val="left"/>
      <w:lvlText w:val="(%1)"/>
      <w:numFmt w:val="lowerRoman"/>
      <w:start w:val="4"/>
    </w:lvl>
  </w:abstractNum>
  <w:abstractNum w:abstractNumId="112">
    <w:nsid w:val="17304A67"/>
    <w:multiLevelType w:val="hybridMultilevel"/>
    <w:lvl w:ilvl="0">
      <w:lvlJc w:val="left"/>
      <w:lvlText w:val="(%1)"/>
      <w:numFmt w:val="lowerLetter"/>
      <w:start w:val="10"/>
    </w:lvl>
  </w:abstractNum>
  <w:abstractNum w:abstractNumId="113">
    <w:nsid w:val="2BB180D8"/>
    <w:multiLevelType w:val="hybridMultilevel"/>
    <w:lvl w:ilvl="0">
      <w:lvlJc w:val="left"/>
      <w:lvlText w:val="(%1)"/>
      <w:numFmt w:val="lowerLetter"/>
      <w:start w:val="15"/>
    </w:lvl>
  </w:abstractNum>
  <w:abstractNum w:abstractNumId="114">
    <w:nsid w:val="556B69ED"/>
    <w:multiLevelType w:val="hybridMultilevel"/>
    <w:lvl w:ilvl="0">
      <w:lvlJc w:val="left"/>
      <w:lvlText w:val="(%1)"/>
      <w:numFmt w:val="lowerRoman"/>
      <w:start w:val="1"/>
    </w:lvl>
  </w:abstractNum>
  <w:abstractNum w:abstractNumId="115">
    <w:nsid w:val="70836196"/>
    <w:multiLevelType w:val="hybridMultilevel"/>
    <w:lvl w:ilvl="0">
      <w:lvlJc w:val="left"/>
      <w:lvlText w:val="(%1)"/>
      <w:numFmt w:val="lowerLetter"/>
      <w:start w:val="17"/>
    </w:lvl>
  </w:abstractNum>
  <w:abstractNum w:abstractNumId="116">
    <w:nsid w:val="539F7F12"/>
    <w:multiLevelType w:val="hybridMultilevel"/>
    <w:lvl w:ilvl="0">
      <w:lvlJc w:val="left"/>
      <w:lvlText w:val="(%1)"/>
      <w:numFmt w:val="lowerRoman"/>
      <w:start w:val="1"/>
    </w:lvl>
  </w:abstractNum>
  <w:abstractNum w:abstractNumId="117">
    <w:nsid w:val="2817E7EC"/>
    <w:multiLevelType w:val="hybridMultilevel"/>
    <w:lvl w:ilvl="0">
      <w:lvlJc w:val="left"/>
      <w:lvlText w:val="(%1)"/>
      <w:numFmt w:val="lowerRoman"/>
      <w:start w:val="2"/>
    </w:lvl>
  </w:abstractNum>
  <w:abstractNum w:abstractNumId="118">
    <w:nsid w:val="71482545"/>
    <w:multiLevelType w:val="hybridMultilevel"/>
    <w:lvl w:ilvl="0">
      <w:lvlJc w:val="left"/>
      <w:lvlText w:val="(%1)"/>
      <w:numFmt w:val="lowerLetter"/>
      <w:start w:val="25"/>
    </w:lvl>
  </w:abstractNum>
  <w:abstractNum w:abstractNumId="119">
    <w:nsid w:val="17D78639"/>
    <w:multiLevelType w:val="hybridMultilevel"/>
    <w:lvl w:ilvl="0">
      <w:lvlJc w:val="left"/>
      <w:lvlText w:val="(%1)"/>
      <w:numFmt w:val="lowerLetter"/>
      <w:start w:val="27"/>
    </w:lvl>
  </w:abstractNum>
  <w:abstractNum w:abstractNumId="120">
    <w:nsid w:val="141D2302"/>
    <w:multiLevelType w:val="hybridMultilevel"/>
    <w:lvl w:ilvl="0">
      <w:lvlJc w:val="left"/>
      <w:lvlText w:val="(%1)"/>
      <w:numFmt w:val="lowerLetter"/>
      <w:start w:val="33"/>
    </w:lvl>
  </w:abstractNum>
  <w:abstractNum w:abstractNumId="121">
    <w:nsid w:val="407168D8"/>
    <w:multiLevelType w:val="hybridMultilevel"/>
    <w:lvl w:ilvl="0">
      <w:lvlJc w:val="left"/>
      <w:lvlText w:val="(%1)"/>
      <w:numFmt w:val="lowerRoman"/>
      <w:start w:val="14"/>
    </w:lvl>
  </w:abstractNum>
  <w:abstractNum w:abstractNumId="122">
    <w:nsid w:val="6A1B45E5"/>
    <w:multiLevelType w:val="hybridMultilevel"/>
    <w:lvl w:ilvl="0">
      <w:lvlJc w:val="left"/>
      <w:lvlText w:val="(%1)"/>
      <w:numFmt w:val="lowerLetter"/>
      <w:start w:val="40"/>
    </w:lvl>
  </w:abstractNum>
  <w:abstractNum w:abstractNumId="123">
    <w:nsid w:val="567BD50A"/>
    <w:multiLevelType w:val="hybridMultilevel"/>
    <w:lvl w:ilvl="0">
      <w:lvlJc w:val="left"/>
      <w:lvlText w:val="(%1)"/>
      <w:numFmt w:val="lowerLetter"/>
      <w:start w:val="43"/>
    </w:lvl>
  </w:abstractNum>
  <w:abstractNum w:abstractNumId="124">
    <w:nsid w:val="73BBD7F8"/>
    <w:multiLevelType w:val="hybridMultilevel"/>
    <w:lvl w:ilvl="0">
      <w:lvlJc w:val="left"/>
      <w:lvlText w:val="(%1)"/>
      <w:numFmt w:val="lowerLetter"/>
      <w:start w:val="53"/>
    </w:lvl>
  </w:abstractNum>
  <w:abstractNum w:abstractNumId="125">
    <w:nsid w:val="1876589D"/>
    <w:multiLevelType w:val="hybridMultilevel"/>
    <w:lvl w:ilvl="0">
      <w:lvlJc w:val="left"/>
      <w:lvlText w:val="(%1)"/>
      <w:numFmt w:val="lowerLetter"/>
      <w:start w:val="55"/>
    </w:lvl>
  </w:abstractNum>
  <w:abstractNum w:abstractNumId="126">
    <w:nsid w:val="327FAC77"/>
    <w:multiLevelType w:val="hybridMultilevel"/>
    <w:lvl w:ilvl="0">
      <w:lvlJc w:val="left"/>
      <w:lvlText w:val="(%1)"/>
      <w:numFmt w:val="decimal"/>
      <w:start w:val="12"/>
    </w:lvl>
  </w:abstractNum>
  <w:abstractNum w:abstractNumId="127">
    <w:nsid w:val="5A606509"/>
    <w:multiLevelType w:val="hybridMultilevel"/>
    <w:lvl w:ilvl="0">
      <w:lvlJc w:val="left"/>
      <w:lvlText w:val="%1."/>
      <w:numFmt w:val="decimal"/>
      <w:start w:val="1"/>
    </w:lvl>
  </w:abstractNum>
  <w:abstractNum w:abstractNumId="128">
    <w:nsid w:val="6F38E6D1"/>
    <w:multiLevelType w:val="hybridMultilevel"/>
    <w:lvl w:ilvl="0">
      <w:lvlJc w:val="left"/>
      <w:lvlText w:val="%1."/>
      <w:numFmt w:val="decimal"/>
      <w:start w:val="5"/>
    </w:lvl>
    <w:lvl w:ilvl="1">
      <w:lvlJc w:val="left"/>
      <w:lvlText w:val="(%2)"/>
      <w:numFmt w:val="lowerLetter"/>
      <w:start w:val="1"/>
    </w:lvl>
  </w:abstractNum>
  <w:abstractNum w:abstractNumId="129">
    <w:nsid w:val="46111BA5"/>
    <w:multiLevelType w:val="hybridMultilevel"/>
    <w:lvl w:ilvl="0">
      <w:lvlJc w:val="left"/>
      <w:lvlText w:val="%1"/>
      <w:numFmt w:val="decimal"/>
      <w:start w:val="1"/>
    </w:lvl>
    <w:lvl w:ilvl="1">
      <w:lvlJc w:val="left"/>
      <w:lvlText w:val="(%2)"/>
      <w:numFmt w:val="lowerLetter"/>
      <w:start w:val="3"/>
    </w:lvl>
  </w:abstractNum>
  <w:abstractNum w:abstractNumId="130">
    <w:nsid w:val="5E963896"/>
    <w:multiLevelType w:val="hybridMultilevel"/>
    <w:lvl w:ilvl="0">
      <w:lvlJc w:val="left"/>
      <w:lvlText w:val="%1."/>
      <w:numFmt w:val="decimal"/>
      <w:start w:val="7"/>
    </w:lvl>
    <w:lvl w:ilvl="1">
      <w:lvlJc w:val="left"/>
      <w:lvlText w:val="%2"/>
      <w:numFmt w:val="lowerLetter"/>
      <w:start w:val="1"/>
    </w:lvl>
  </w:abstractNum>
  <w:abstractNum w:abstractNumId="131">
    <w:nsid w:val="775BA7C1"/>
    <w:multiLevelType w:val="hybridMultilevel"/>
    <w:lvl w:ilvl="0">
      <w:lvlJc w:val="left"/>
      <w:lvlText w:val="(%1)"/>
      <w:numFmt w:val="lowerLetter"/>
      <w:start w:val="1"/>
    </w:lvl>
  </w:abstractNum>
  <w:abstractNum w:abstractNumId="132">
    <w:nsid w:val="1DD6D6F4"/>
    <w:multiLevelType w:val="hybridMultilevel"/>
    <w:lvl w:ilvl="0">
      <w:lvlJc w:val="left"/>
      <w:lvlText w:val="(%1)"/>
      <w:numFmt w:val="lowerRoman"/>
      <w:start w:val="4"/>
    </w:lvl>
    <w:lvl w:ilvl="1">
      <w:lvlJc w:val="left"/>
      <w:lvlText w:val="(%2)"/>
      <w:numFmt w:val="lowerLetter"/>
      <w:start w:val="2"/>
    </w:lvl>
  </w:abstractNum>
  <w:abstractNum w:abstractNumId="133">
    <w:nsid w:val="769A091F"/>
    <w:multiLevelType w:val="hybridMultilevel"/>
    <w:lvl w:ilvl="0">
      <w:lvlJc w:val="left"/>
      <w:lvlText w:val="(%1)"/>
      <w:numFmt w:val="lowerLetter"/>
      <w:start w:val="1"/>
    </w:lvl>
  </w:abstractNum>
  <w:abstractNum w:abstractNumId="134">
    <w:nsid w:val="4695AE95"/>
    <w:multiLevelType w:val="hybridMultilevel"/>
    <w:lvl w:ilvl="0">
      <w:lvlJc w:val="left"/>
      <w:lvlText w:val="(%1)"/>
      <w:numFmt w:val="lowerLetter"/>
      <w:start w:val="3"/>
    </w:lvl>
  </w:abstractNum>
  <w:abstractNum w:abstractNumId="135">
    <w:nsid w:val="777A4EAA"/>
    <w:multiLevelType w:val="hybridMultilevel"/>
    <w:lvl w:ilvl="0">
      <w:lvlJc w:val="left"/>
      <w:lvlText w:val="(%1)"/>
      <w:numFmt w:val="lowerLetter"/>
      <w:start w:val="1"/>
    </w:lvl>
  </w:abstractNum>
  <w:abstractNum w:abstractNumId="136">
    <w:nsid w:val="3F48B982"/>
    <w:multiLevelType w:val="hybridMultilevel"/>
    <w:lvl w:ilvl="0">
      <w:lvlJc w:val="left"/>
      <w:lvlText w:val="%1."/>
      <w:numFmt w:val="decimal"/>
      <w:start w:val="1"/>
    </w:lvl>
  </w:abstractNum>
  <w:abstractNum w:abstractNumId="137">
    <w:nsid w:val="46BA8FCA"/>
    <w:multiLevelType w:val="hybridMultilevel"/>
    <w:lvl w:ilvl="0">
      <w:lvlJc w:val="left"/>
      <w:lvlText w:val="%1"/>
      <w:numFmt w:val="decimal"/>
      <w:start w:val="1"/>
    </w:lvl>
    <w:lvl w:ilvl="1">
      <w:lvlJc w:val="left"/>
      <w:lvlText w:val="(%2)"/>
      <w:numFmt w:val="lowerLetter"/>
      <w:start w:val="1"/>
    </w:lvl>
  </w:abstractNum>
  <w:abstractNum w:abstractNumId="138">
    <w:nsid w:val="7835626C"/>
    <w:multiLevelType w:val="hybridMultilevel"/>
    <w:lvl w:ilvl="0">
      <w:lvlJc w:val="left"/>
      <w:lvlText w:val="%1."/>
      <w:numFmt w:val="decimal"/>
      <w:start w:val="5"/>
    </w:lvl>
    <w:lvl w:ilvl="1">
      <w:lvlJc w:val="left"/>
      <w:lvlText w:val="(%2)"/>
      <w:numFmt w:val="lowerLetter"/>
      <w:start w:val="1"/>
    </w:lvl>
  </w:abstractNum>
  <w:abstractNum w:abstractNumId="139">
    <w:nsid w:val="665ACA49"/>
    <w:multiLevelType w:val="hybridMultilevel"/>
    <w:lvl w:ilvl="0">
      <w:lvlJc w:val="left"/>
      <w:lvlText w:val="%1."/>
      <w:numFmt w:val="decimal"/>
      <w:start w:val="6"/>
    </w:lvl>
    <w:lvl w:ilvl="1">
      <w:lvlJc w:val="left"/>
      <w:lvlText w:val="(%2)"/>
      <w:numFmt w:val="lowerLetter"/>
      <w:start w:val="1"/>
    </w:lvl>
  </w:abstractNum>
  <w:abstractNum w:abstractNumId="140">
    <w:nsid w:val="6835B2AE"/>
    <w:multiLevelType w:val="hybridMultilevel"/>
    <w:lvl w:ilvl="0">
      <w:lvlJc w:val="left"/>
      <w:lvlText w:val="(%1)"/>
      <w:numFmt w:val="lowerLetter"/>
      <w:start w:val="4"/>
    </w:lvl>
  </w:abstractNum>
  <w:abstractNum w:abstractNumId="141">
    <w:nsid w:val="4C187C90"/>
    <w:multiLevelType w:val="hybridMultilevel"/>
    <w:lvl w:ilvl="0">
      <w:lvlJc w:val="left"/>
      <w:lvlText w:val="%1."/>
      <w:numFmt w:val="decimal"/>
      <w:start w:val="9"/>
    </w:lvl>
    <w:lvl w:ilvl="1">
      <w:lvlJc w:val="left"/>
      <w:lvlText w:val="(%2)"/>
      <w:numFmt w:val="lowerLetter"/>
      <w:start w:val="1"/>
    </w:lvl>
  </w:abstractNum>
  <w:abstractNum w:abstractNumId="142">
    <w:nsid w:val="541F28CD"/>
    <w:multiLevelType w:val="hybridMultilevel"/>
    <w:lvl w:ilvl="0">
      <w:lvlJc w:val="left"/>
      <w:lvlText w:val="(%1)"/>
      <w:numFmt w:val="lowerLetter"/>
      <w:start w:val="1"/>
    </w:lvl>
  </w:abstractNum>
  <w:abstractNum w:abstractNumId="143">
    <w:nsid w:val="7F65FD16"/>
    <w:multiLevelType w:val="hybridMultilevel"/>
    <w:lvl w:ilvl="0">
      <w:lvlJc w:val="left"/>
      <w:lvlText w:val="(%1)"/>
      <w:numFmt w:val="lowerLetter"/>
      <w:start w:val="3"/>
    </w:lvl>
  </w:abstractNum>
  <w:abstractNum w:abstractNumId="144">
    <w:nsid w:val="77C9FD68"/>
    <w:multiLevelType w:val="hybridMultilevel"/>
    <w:lvl w:ilvl="0">
      <w:lvlJc w:val="left"/>
      <w:lvlText w:val="(%1)"/>
      <w:numFmt w:val="lowerLetter"/>
      <w:start w:val="1"/>
    </w:lvl>
  </w:abstractNum>
  <w:abstractNum w:abstractNumId="145">
    <w:nsid w:val="298A92BA"/>
    <w:multiLevelType w:val="hybridMultilevel"/>
    <w:lvl w:ilvl="0">
      <w:lvlJc w:val="left"/>
      <w:lvlText w:val="(%1)"/>
      <w:numFmt w:val="lowerLetter"/>
      <w:start w:val="1"/>
    </w:lvl>
  </w:abstractNum>
  <w:abstractNum w:abstractNumId="146">
    <w:nsid w:val="6FE95EAC"/>
    <w:multiLevelType w:val="hybridMultilevel"/>
    <w:lvl w:ilvl="0">
      <w:lvlJc w:val="left"/>
      <w:lvlText w:val="(%1)"/>
      <w:numFmt w:val="lowerLetter"/>
      <w:start w:val="1"/>
    </w:lvl>
  </w:abstractNum>
  <w:abstractNum w:abstractNumId="147">
    <w:nsid w:val="4B697C7A"/>
    <w:multiLevelType w:val="hybridMultilevel"/>
    <w:lvl w:ilvl="0">
      <w:lvlJc w:val="left"/>
      <w:lvlText w:val="(%1)"/>
      <w:numFmt w:val="lowerLetter"/>
      <w:start w:val="2"/>
    </w:lvl>
    <w:lvl w:ilvl="1">
      <w:lvlJc w:val="left"/>
      <w:lvlText w:val="*"/>
      <w:numFmt w:val="bullet"/>
      <w:start w:val="1"/>
    </w:lvl>
  </w:abstractNum>
  <w:abstractNum w:abstractNumId="148">
    <w:nsid w:val="51A27AA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9">
    <w:nsid w:val="613183F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50">
    <w:nsid w:val="634102B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1">
    <w:nsid w:val="65BF9DA8"/>
    <w:multiLevelType w:val="hybridMultilevel"/>
    <w:lvl w:ilvl="0">
      <w:lvlJc w:val="left"/>
      <w:lvlText w:val="%1"/>
      <w:numFmt w:val="lowerLetter"/>
      <w:start w:val="1"/>
    </w:lvl>
    <w:lvl w:ilvl="1">
      <w:lvlJc w:val="left"/>
      <w:lvlText w:val="(%2)"/>
      <w:numFmt w:val="lowerRoman"/>
      <w:start w:val="7"/>
    </w:lvl>
  </w:abstractNum>
  <w:abstractNum w:abstractNumId="152">
    <w:nsid w:val="21A2ECCA"/>
    <w:multiLevelType w:val="hybridMultilevel"/>
    <w:lvl w:ilvl="0">
      <w:lvlJc w:val="left"/>
      <w:lvlText w:val="(%1)"/>
      <w:numFmt w:val="lowerLetter"/>
      <w:start w:val="3"/>
    </w:lvl>
    <w:lvl w:ilvl="1">
      <w:lvlJc w:val="left"/>
      <w:lvlText w:val="(%2)"/>
      <w:numFmt w:val="lowerRoman"/>
      <w:start w:val="1"/>
    </w:lvl>
  </w:abstractNum>
  <w:abstractNum w:abstractNumId="153">
    <w:nsid w:val="4D5C48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54">
    <w:nsid w:val="3C3B72B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55">
    <w:nsid w:val="155EC4C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56">
    <w:nsid w:val="65D2A137"/>
    <w:multiLevelType w:val="hybridMultilevel"/>
    <w:lvl w:ilvl="0">
      <w:lvlJc w:val="left"/>
      <w:lvlText w:val="(%1)"/>
      <w:numFmt w:val="lowerRoman"/>
      <w:start w:val="2"/>
    </w:lvl>
  </w:abstractNum>
  <w:abstractNum w:abstractNumId="157">
    <w:nsid w:val="6EBB1F2A"/>
    <w:multiLevelType w:val="hybridMultilevel"/>
    <w:lvl w:ilvl="0">
      <w:lvlJc w:val="left"/>
      <w:lvlText w:val="%1"/>
      <w:numFmt w:val="decimal"/>
      <w:start w:val="1"/>
    </w:lvl>
    <w:lvl w:ilvl="1">
      <w:lvlJc w:val="left"/>
      <w:lvlText w:val="(%2)"/>
      <w:numFmt w:val="lowerRoman"/>
      <w:start w:val="3"/>
    </w:lvl>
  </w:abstractNum>
  <w:abstractNum w:abstractNumId="158">
    <w:nsid w:val="6FBF29CB"/>
    <w:multiLevelType w:val="hybridMultilevel"/>
    <w:lvl w:ilvl="0">
      <w:lvlJc w:val="left"/>
      <w:lvlText w:val="2"/>
      <w:numFmt w:val="bullet"/>
      <w:start w:val="1"/>
    </w:lvl>
  </w:abstractNum>
  <w:abstractNum w:abstractNumId="159">
    <w:nsid w:val="550B8808"/>
    <w:multiLevelType w:val="hybridMultilevel"/>
    <w:lvl w:ilvl="0">
      <w:lvlJc w:val="left"/>
      <w:lvlText w:val="%1"/>
      <w:numFmt w:val="lowerLetter"/>
      <w:start w:val="1"/>
    </w:lvl>
    <w:lvl w:ilvl="1">
      <w:lvlJc w:val="left"/>
      <w:lvlText w:val="(%2)"/>
      <w:numFmt w:val="lowerRoman"/>
      <w:start w:val="4"/>
    </w:lvl>
  </w:abstractNum>
  <w:abstractNum w:abstractNumId="160">
    <w:nsid w:val="34CC3ACF"/>
    <w:multiLevelType w:val="hybridMultilevel"/>
    <w:lvl w:ilvl="0">
      <w:lvlJc w:val="left"/>
      <w:lvlText w:val="(%1)"/>
      <w:numFmt w:val="lowerLetter"/>
      <w:start w:val="2"/>
    </w:lvl>
    <w:lvl w:ilvl="1">
      <w:lvlJc w:val="left"/>
      <w:lvlText w:val="%2"/>
      <w:numFmt w:val="lowerRoman"/>
      <w:start w:val="1"/>
    </w:lvl>
  </w:abstractNum>
  <w:abstractNum w:abstractNumId="161">
    <w:nsid w:val="4E556261"/>
    <w:multiLevelType w:val="hybridMultilevel"/>
    <w:lvl w:ilvl="0">
      <w:lvlJc w:val="left"/>
      <w:lvlText w:val="(%1)"/>
      <w:numFmt w:val="lowerLetter"/>
      <w:start w:val="5"/>
    </w:lvl>
  </w:abstractNum>
  <w:abstractNum w:abstractNumId="162">
    <w:nsid w:val="4C672FC9"/>
    <w:multiLevelType w:val="hybridMultilevel"/>
    <w:lvl w:ilvl="0">
      <w:lvlJc w:val="left"/>
      <w:lvlText w:val="3"/>
      <w:numFmt w:val="bullet"/>
      <w:start w:val="1"/>
    </w:lvl>
  </w:abstractNum>
  <w:abstractNum w:abstractNumId="163">
    <w:nsid w:val="52A311C3"/>
    <w:multiLevelType w:val="hybridMultilevel"/>
    <w:lvl w:ilvl="0">
      <w:lvlJc w:val="left"/>
      <w:lvlText w:val="%1."/>
      <w:numFmt w:val="decimal"/>
      <w:start w:val="4"/>
    </w:lvl>
    <w:lvl w:ilvl="1">
      <w:lvlJc w:val="left"/>
      <w:lvlText w:val="(%2)"/>
      <w:numFmt w:val="lowerLetter"/>
      <w:start w:val="1"/>
    </w:lvl>
  </w:abstractNum>
  <w:abstractNum w:abstractNumId="164">
    <w:nsid w:val="44EF6B80"/>
    <w:multiLevelType w:val="hybridMultilevel"/>
    <w:lvl w:ilvl="0">
      <w:lvlJc w:val="left"/>
      <w:lvlText w:val="(%1)"/>
      <w:numFmt w:val="lowerLetter"/>
      <w:start w:val="1"/>
    </w:lvl>
  </w:abstractNum>
  <w:abstractNum w:abstractNumId="165">
    <w:nsid w:val="12FCDE5E"/>
    <w:multiLevelType w:val="hybridMultilevel"/>
    <w:lvl w:ilvl="0">
      <w:lvlJc w:val="left"/>
      <w:lvlText w:val="(%1)"/>
      <w:numFmt w:val="lowerLetter"/>
      <w:start w:val="3"/>
    </w:lvl>
    <w:lvl w:ilvl="1">
      <w:lvlJc w:val="left"/>
      <w:lvlText w:val="(%2)"/>
      <w:numFmt w:val="lowerRoman"/>
      <w:start w:val="1"/>
    </w:lvl>
  </w:abstractNum>
  <w:abstractNum w:abstractNumId="166">
    <w:nsid w:val="4A1D606E"/>
    <w:multiLevelType w:val="hybridMultilevel"/>
    <w:lvl w:ilvl="0">
      <w:lvlJc w:val="left"/>
      <w:lvlText w:val="%1"/>
      <w:numFmt w:val="lowerLetter"/>
      <w:start w:val="1"/>
    </w:lvl>
    <w:lvl w:ilvl="1">
      <w:lvlJc w:val="left"/>
      <w:lvlText w:val="(%2)"/>
      <w:numFmt w:val="lowerRoman"/>
      <w:start w:val="4"/>
    </w:lvl>
  </w:abstractNum>
  <w:abstractNum w:abstractNumId="167">
    <w:nsid w:val="4382503"/>
    <w:multiLevelType w:val="hybridMultilevel"/>
    <w:lvl w:ilvl="0">
      <w:lvlJc w:val="left"/>
      <w:lvlText w:val="(%1)"/>
      <w:numFmt w:val="lowerLetter"/>
      <w:start w:val="4"/>
    </w:lvl>
    <w:lvl w:ilvl="1">
      <w:lvlJc w:val="left"/>
      <w:lvlText w:val="%2"/>
      <w:numFmt w:val="lowerRoman"/>
      <w:start w:val="1"/>
    </w:lvl>
  </w:abstractNum>
  <w:abstractNum w:abstractNumId="168">
    <w:nsid w:val="59B76E28"/>
    <w:multiLevelType w:val="hybridMultilevel"/>
    <w:lvl w:ilvl="0">
      <w:lvlJc w:val="left"/>
      <w:lvlText w:val="(%1)"/>
      <w:numFmt w:val="lowerLetter"/>
      <w:start w:val="5"/>
    </w:lvl>
    <w:lvl w:ilvl="1">
      <w:lvlJc w:val="left"/>
      <w:lvlText w:val="(%2)"/>
      <w:numFmt w:val="lowerRoman"/>
      <w:start w:val="1"/>
    </w:lvl>
  </w:abstractNum>
  <w:abstractNum w:abstractNumId="169">
    <w:nsid w:val="4252C2DA"/>
    <w:multiLevelType w:val="hybridMultilevel"/>
    <w:lvl w:ilvl="0">
      <w:lvlJc w:val="left"/>
      <w:lvlText w:val="%1"/>
      <w:numFmt w:val="lowerLetter"/>
      <w:start w:val="1"/>
    </w:lvl>
    <w:lvl w:ilvl="1">
      <w:lvlJc w:val="left"/>
      <w:lvlText w:val="(%2)"/>
      <w:numFmt w:val="lowerLetter"/>
      <w:start w:val="61"/>
    </w:lvl>
  </w:abstractNum>
  <w:abstractNum w:abstractNumId="170">
    <w:nsid w:val="6A92EF4C"/>
    <w:multiLevelType w:val="hybridMultilevel"/>
    <w:lvl w:ilvl="0">
      <w:lvlJc w:val="left"/>
      <w:lvlText w:val="(%1)"/>
      <w:numFmt w:val="lowerLetter"/>
      <w:start w:val="6"/>
    </w:lvl>
    <w:lvl w:ilvl="1">
      <w:lvlJc w:val="left"/>
      <w:lvlText w:val="%2"/>
      <w:numFmt w:val="lowerLetter"/>
      <w:start w:val="1"/>
    </w:lvl>
  </w:abstractNum>
  <w:abstractNum w:abstractNumId="171">
    <w:nsid w:val="41ED20D7"/>
    <w:multiLevelType w:val="hybridMultilevel"/>
    <w:lvl w:ilvl="0">
      <w:lvlJc w:val="left"/>
      <w:lvlText w:val="(%1)"/>
      <w:numFmt w:val="lowerLetter"/>
      <w:start w:val="8"/>
    </w:lvl>
  </w:abstractNum>
  <w:abstractNum w:abstractNumId="172">
    <w:nsid w:val="E6B3F6A"/>
    <w:multiLevelType w:val="hybridMultilevel"/>
    <w:lvl w:ilvl="0">
      <w:lvlJc w:val="left"/>
      <w:lvlText w:val="%1"/>
      <w:numFmt w:val="lowerLetter"/>
      <w:start w:val="1"/>
    </w:lvl>
    <w:lvl w:ilvl="1">
      <w:lvlJc w:val="left"/>
      <w:lvlText w:val="(%2)"/>
      <w:numFmt w:val="lowerLetter"/>
      <w:start w:val="9"/>
    </w:lvl>
  </w:abstractNum>
  <w:abstractNum w:abstractNumId="173">
    <w:nsid w:val="3EB21819"/>
    <w:multiLevelType w:val="hybridMultilevel"/>
    <w:lvl w:ilvl="0">
      <w:lvlJc w:val="left"/>
      <w:lvlText w:val="(%1)"/>
      <w:numFmt w:val="lowerLetter"/>
      <w:start w:val="9"/>
    </w:lvl>
    <w:lvl w:ilvl="1">
      <w:lvlJc w:val="left"/>
      <w:lvlText w:val="(%2)"/>
      <w:numFmt w:val="lowerLetter"/>
      <w:start w:val="10"/>
    </w:lvl>
  </w:abstractNum>
  <w:abstractNum w:abstractNumId="174">
    <w:nsid w:val="41531DED"/>
    <w:multiLevelType w:val="hybridMultilevel"/>
    <w:lvl w:ilvl="0">
      <w:lvlJc w:val="left"/>
      <w:lvlText w:val="(%1)"/>
      <w:numFmt w:val="lowerLetter"/>
      <w:start w:val="11"/>
    </w:lvl>
  </w:abstractNum>
  <w:abstractNum w:abstractNumId="175">
    <w:nsid w:val="6353CD2"/>
    <w:multiLevelType w:val="hybridMultilevel"/>
    <w:lvl w:ilvl="0">
      <w:lvlJc w:val="left"/>
      <w:lvlText w:val="%1"/>
      <w:numFmt w:val="lowerLetter"/>
      <w:start w:val="1"/>
    </w:lvl>
    <w:lvl w:ilvl="1">
      <w:lvlJc w:val="left"/>
      <w:lvlText w:val="(%2)"/>
      <w:numFmt w:val="lowerLetter"/>
      <w:start w:val="12"/>
    </w:lvl>
  </w:abstractNum>
  <w:abstractNum w:abstractNumId="176">
    <w:nsid w:val="683CAAD3"/>
    <w:multiLevelType w:val="hybridMultilevel"/>
    <w:lvl w:ilvl="0">
      <w:lvlJc w:val="left"/>
      <w:lvlText w:val="(%1)"/>
      <w:numFmt w:val="lowerLetter"/>
      <w:start w:val="61"/>
    </w:lvl>
    <w:lvl w:ilvl="1">
      <w:lvlJc w:val="left"/>
      <w:lvlText w:val="%2"/>
      <w:numFmt w:val="lowerLetter"/>
      <w:start w:val="1"/>
    </w:lvl>
  </w:abstractNum>
  <w:abstractNum w:abstractNumId="177">
    <w:nsid w:val="313C7C99"/>
    <w:multiLevelType w:val="hybridMultilevel"/>
    <w:lvl w:ilvl="0">
      <w:lvlJc w:val="left"/>
      <w:lvlText w:val="%1."/>
      <w:numFmt w:val="decimal"/>
      <w:start w:val="6"/>
    </w:lvl>
    <w:lvl w:ilvl="1">
      <w:lvlJc w:val="left"/>
      <w:lvlText w:val="(%2)"/>
      <w:numFmt w:val="lowerLetter"/>
      <w:start w:val="1"/>
    </w:lvl>
  </w:abstractNum>
  <w:abstractNum w:abstractNumId="178">
    <w:nsid w:val="519EB94C"/>
    <w:multiLevelType w:val="hybridMultilevel"/>
    <w:lvl w:ilvl="0">
      <w:lvlJc w:val="left"/>
      <w:lvlText w:val="(%1)"/>
      <w:numFmt w:val="lowerRoman"/>
      <w:start w:val="1"/>
    </w:lvl>
  </w:abstractNum>
  <w:abstractNum w:abstractNumId="179">
    <w:nsid w:val="39DF2579"/>
    <w:multiLevelType w:val="hybridMultilevel"/>
    <w:lvl w:ilvl="0">
      <w:lvlJc w:val="left"/>
      <w:lvlText w:val="%1"/>
      <w:numFmt w:val="lowerLetter"/>
      <w:start w:val="1"/>
    </w:lvl>
    <w:lvl w:ilvl="1">
      <w:lvlJc w:val="left"/>
      <w:lvlText w:val="(%2)"/>
      <w:numFmt w:val="lowerRoman"/>
      <w:start w:val="4"/>
    </w:lvl>
  </w:abstractNum>
  <w:abstractNum w:abstractNumId="180">
    <w:nsid w:val="126E008B"/>
    <w:multiLevelType w:val="hybridMultilevel"/>
    <w:lvl w:ilvl="0">
      <w:lvlJc w:val="left"/>
      <w:lvlText w:val="(%1)"/>
      <w:numFmt w:val="lowerLetter"/>
      <w:start w:val="2"/>
    </w:lvl>
    <w:lvl w:ilvl="1">
      <w:lvlJc w:val="left"/>
      <w:lvlText w:val="(%2)"/>
      <w:numFmt w:val="lowerRoman"/>
      <w:start w:val="1"/>
    </w:lvl>
  </w:abstractNum>
  <w:abstractNum w:abstractNumId="181">
    <w:nsid w:val="34DFBC00"/>
    <w:multiLevelType w:val="hybridMultilevel"/>
    <w:lvl w:ilvl="0">
      <w:lvlJc w:val="left"/>
      <w:lvlText w:val="(%1)"/>
      <w:numFmt w:val="lowerRoman"/>
      <w:start w:val="4"/>
    </w:lvl>
  </w:abstractNum>
  <w:abstractNum w:abstractNumId="182">
    <w:nsid w:val="1F9EC322"/>
    <w:multiLevelType w:val="hybridMultilevel"/>
    <w:lvl w:ilvl="0">
      <w:lvlJc w:val="left"/>
      <w:lvlText w:val="%1"/>
      <w:numFmt w:val="lowerLetter"/>
      <w:start w:val="1"/>
    </w:lvl>
    <w:lvl w:ilvl="1">
      <w:lvlJc w:val="left"/>
      <w:lvlText w:val="(%2)"/>
      <w:numFmt w:val="lowerRoman"/>
      <w:start w:val="6"/>
    </w:lvl>
  </w:abstractNum>
  <w:abstractNum w:abstractNumId="183">
    <w:nsid w:val="3410ED56"/>
    <w:multiLevelType w:val="hybridMultilevel"/>
    <w:lvl w:ilvl="0">
      <w:lvlJc w:val="left"/>
      <w:lvlText w:val="(%1)"/>
      <w:numFmt w:val="lowerLetter"/>
      <w:start w:val="3"/>
    </w:lvl>
    <w:lvl w:ilvl="1">
      <w:lvlJc w:val="left"/>
      <w:lvlText w:val="(%2)"/>
      <w:numFmt w:val="lowerRoman"/>
      <w:start w:val="1"/>
    </w:lvl>
  </w:abstractNum>
  <w:abstractNum w:abstractNumId="184">
    <w:nsid w:val="23C049A"/>
    <w:multiLevelType w:val="hybridMultilevel"/>
    <w:lvl w:ilvl="0">
      <w:lvlJc w:val="left"/>
      <w:lvlText w:val="(%1)"/>
      <w:numFmt w:val="lowerRoman"/>
      <w:start w:val="3"/>
    </w:lvl>
  </w:abstractNum>
  <w:abstractNum w:abstractNumId="185">
    <w:nsid w:val="5BDA35D4"/>
    <w:multiLevelType w:val="hybridMultilevel"/>
    <w:lvl w:ilvl="0">
      <w:lvlJc w:val="left"/>
      <w:lvlText w:val="%1"/>
      <w:numFmt w:val="decimal"/>
      <w:start w:val="1"/>
    </w:lvl>
    <w:lvl w:ilvl="1">
      <w:lvlJc w:val="left"/>
      <w:lvlText w:val="(%2)"/>
      <w:numFmt w:val="lowerLetter"/>
      <w:start w:val="4"/>
    </w:lvl>
  </w:abstractNum>
  <w:abstractNum w:abstractNumId="186">
    <w:nsid w:val="496FB218"/>
    <w:multiLevelType w:val="hybridMultilevel"/>
    <w:lvl w:ilvl="0">
      <w:lvlJc w:val="left"/>
      <w:lvlText w:val="%1."/>
      <w:numFmt w:val="decimal"/>
      <w:start w:val="7"/>
    </w:lvl>
    <w:lvl w:ilvl="1">
      <w:lvlJc w:val="left"/>
      <w:lvlText w:val="(%2)"/>
      <w:numFmt w:val="lowerLetter"/>
      <w:start w:val="1"/>
    </w:lvl>
  </w:abstractNum>
  <w:abstractNum w:abstractNumId="187">
    <w:nsid w:val="680EA5D1"/>
    <w:multiLevelType w:val="hybridMultilevel"/>
    <w:lvl w:ilvl="0">
      <w:lvlJc w:val="left"/>
      <w:lvlText w:val="(%1)"/>
      <w:numFmt w:val="lowerLetter"/>
      <w:start w:val="3"/>
    </w:lvl>
  </w:abstractNum>
  <w:abstractNum w:abstractNumId="188">
    <w:nsid w:val="4A9554FE"/>
    <w:multiLevelType w:val="hybridMultilevel"/>
    <w:lvl w:ilvl="0">
      <w:lvlJc w:val="left"/>
      <w:lvlText w:val="%1."/>
      <w:numFmt w:val="decimal"/>
      <w:start w:val="8"/>
    </w:lvl>
    <w:lvl w:ilvl="1">
      <w:lvlJc w:val="left"/>
      <w:lvlText w:val="(%2)"/>
      <w:numFmt w:val="lowerLetter"/>
      <w:start w:val="1"/>
    </w:lvl>
  </w:abstractNum>
  <w:abstractNum w:abstractNumId="189">
    <w:nsid w:val="392EDBE4"/>
    <w:multiLevelType w:val="hybridMultilevel"/>
    <w:lvl w:ilvl="0">
      <w:lvlJc w:val="left"/>
      <w:lvlText w:val="(%1)"/>
      <w:numFmt w:val="lowerLetter"/>
      <w:start w:val="6"/>
    </w:lvl>
  </w:abstractNum>
  <w:abstractNum w:abstractNumId="190">
    <w:nsid w:val="3D1A2DD9"/>
    <w:multiLevelType w:val="hybridMultilevel"/>
    <w:lvl w:ilvl="0">
      <w:lvlJc w:val="left"/>
      <w:lvlText w:val="(%1)"/>
      <w:numFmt w:val="lowerLetter"/>
      <w:start w:val="9"/>
    </w:lvl>
  </w:abstractNum>
  <w:abstractNum w:abstractNumId="191">
    <w:nsid w:val="7F618FC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2">
    <w:nsid w:val="7843E4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93">
    <w:nsid w:val="9815DA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4">
    <w:nsid w:val="5204A19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95">
    <w:nsid w:val="4C73A9C6"/>
    <w:multiLevelType w:val="hybridMultilevel"/>
    <w:lvl w:ilvl="0">
      <w:lvlJc w:val="left"/>
      <w:lvlText w:val="%1."/>
      <w:numFmt w:val="decimal"/>
      <w:start w:val="12"/>
    </w:lvl>
  </w:abstractNum>
  <w:abstractNum w:abstractNumId="196">
    <w:nsid w:val="1C7E3C01"/>
    <w:multiLevelType w:val="hybridMultilevel"/>
    <w:lvl w:ilvl="0">
      <w:lvlJc w:val="left"/>
      <w:lvlText w:val="%1."/>
      <w:numFmt w:val="decimal"/>
      <w:start w:val="13"/>
    </w:lvl>
    <w:lvl w:ilvl="1">
      <w:lvlJc w:val="left"/>
      <w:lvlText w:val="(%2)"/>
      <w:numFmt w:val="lowerLetter"/>
      <w:start w:val="1"/>
    </w:lvl>
  </w:abstractNum>
  <w:abstractNum w:abstractNumId="197">
    <w:nsid w:val="1C2201FF"/>
    <w:multiLevelType w:val="hybridMultilevel"/>
    <w:lvl w:ilvl="0">
      <w:lvlJc w:val="left"/>
      <w:lvlText w:val="(%1)"/>
      <w:numFmt w:val="lowerRoman"/>
      <w:start w:val="2"/>
    </w:lvl>
  </w:abstractNum>
  <w:abstractNum w:abstractNumId="198">
    <w:nsid w:val="50ABCEC9"/>
    <w:multiLevelType w:val="hybridMultilevel"/>
    <w:lvl w:ilvl="0">
      <w:lvlJc w:val="left"/>
      <w:lvlText w:val="(%1)"/>
      <w:numFmt w:val="lowerLetter"/>
      <w:start w:val="8"/>
    </w:lvl>
    <w:lvl w:ilvl="1">
      <w:lvlJc w:val="left"/>
      <w:lvlText w:val="(%2)"/>
      <w:numFmt w:val="lowerRoman"/>
      <w:start w:val="1"/>
    </w:lvl>
  </w:abstractNum>
  <w:abstractNum w:abstractNumId="199">
    <w:nsid w:val="7635AA2A"/>
    <w:multiLevelType w:val="hybridMultilevel"/>
    <w:lvl w:ilvl="0">
      <w:lvlJc w:val="left"/>
      <w:lvlText w:val="(%1)"/>
      <w:numFmt w:val="lowerRoman"/>
      <w:start w:val="3"/>
    </w:lvl>
  </w:abstractNum>
  <w:abstractNum w:abstractNumId="200">
    <w:nsid w:val="5E74C4D9"/>
    <w:multiLevelType w:val="hybridMultilevel"/>
    <w:lvl w:ilvl="0">
      <w:lvlJc w:val="left"/>
      <w:lvlText w:val="(%1)"/>
      <w:numFmt w:val="lowerRoman"/>
      <w:start w:val="4"/>
    </w:lvl>
  </w:abstractNum>
  <w:abstractNum w:abstractNumId="201">
    <w:nsid w:val="3B3EBE15"/>
    <w:multiLevelType w:val="hybridMultilevel"/>
    <w:lvl w:ilvl="0">
      <w:lvlJc w:val="left"/>
      <w:lvlText w:val="(%1)"/>
      <w:numFmt w:val="lowerRoman"/>
      <w:start w:val="1"/>
    </w:lvl>
  </w:abstractNum>
  <w:abstractNum w:abstractNumId="202">
    <w:nsid w:val="3822CB01"/>
    <w:multiLevelType w:val="hybridMultilevel"/>
    <w:lvl w:ilvl="0">
      <w:lvlJc w:val="left"/>
      <w:lvlText w:val="(%1)"/>
      <w:numFmt w:val="lowerLetter"/>
      <w:start w:val="10"/>
    </w:lvl>
  </w:abstractNum>
  <w:abstractNum w:abstractNumId="203">
    <w:nsid w:val="6CE00443"/>
    <w:multiLevelType w:val="hybridMultilevel"/>
    <w:lvl w:ilvl="0">
      <w:lvlJc w:val="left"/>
      <w:lvlText w:val="(%1)"/>
      <w:numFmt w:val="lowerLetter"/>
      <w:start w:val="14"/>
    </w:lvl>
  </w:abstractNum>
  <w:abstractNum w:abstractNumId="204">
    <w:nsid w:val="79F0D62F"/>
    <w:multiLevelType w:val="hybridMultilevel"/>
    <w:lvl w:ilvl="0">
      <w:lvlJc w:val="left"/>
      <w:lvlText w:val="(%1)"/>
      <w:numFmt w:val="lowerRoman"/>
      <w:start w:val="1"/>
    </w:lvl>
  </w:abstractNum>
  <w:abstractNum w:abstractNumId="205">
    <w:nsid w:val="7975E8EE"/>
    <w:multiLevelType w:val="hybridMultilevel"/>
    <w:lvl w:ilvl="0">
      <w:lvlJc w:val="left"/>
      <w:lvlText w:val="(%1)"/>
      <w:numFmt w:val="lowerLetter"/>
      <w:start w:val="16"/>
    </w:lvl>
  </w:abstractNum>
  <w:abstractNum w:abstractNumId="206">
    <w:nsid w:val="73154115"/>
    <w:multiLevelType w:val="hybridMultilevel"/>
    <w:lvl w:ilvl="0">
      <w:lvlJc w:val="left"/>
      <w:lvlText w:val="%1"/>
      <w:numFmt w:val="lowerLetter"/>
      <w:start w:val="1"/>
    </w:lvl>
    <w:lvl w:ilvl="1">
      <w:lvlJc w:val="left"/>
      <w:lvlText w:val="(%2)"/>
      <w:numFmt w:val="lowerLetter"/>
      <w:start w:val="23"/>
    </w:lvl>
    <w:lvl w:ilvl="2">
      <w:lvlJc w:val="left"/>
      <w:lvlText w:val="%3"/>
      <w:numFmt w:val="lowerLetter"/>
      <w:start w:val="1"/>
    </w:lvl>
  </w:abstractNum>
  <w:abstractNum w:abstractNumId="207">
    <w:nsid w:val="622D8102"/>
    <w:multiLevelType w:val="hybridMultilevel"/>
    <w:lvl w:ilvl="0">
      <w:lvlJc w:val="left"/>
      <w:lvlText w:val="(%1)"/>
      <w:numFmt w:val="lowerLetter"/>
      <w:start w:val="35"/>
    </w:lvl>
    <w:lvl w:ilvl="1">
      <w:lvlJc w:val="left"/>
      <w:lvlText w:val="(%2)"/>
      <w:numFmt w:val="lowerLetter"/>
      <w:start w:val="24"/>
    </w:lvl>
    <w:lvl w:ilvl="2">
      <w:lvlJc w:val="left"/>
      <w:lvlText w:val="(%3)"/>
      <w:numFmt w:val="lowerLetter"/>
      <w:start w:val="9"/>
    </w:lvl>
  </w:abstractNum>
  <w:abstractNum w:abstractNumId="208">
    <w:nsid w:val="2AB26587"/>
    <w:multiLevelType w:val="hybridMultilevel"/>
    <w:lvl w:ilvl="0">
      <w:lvlJc w:val="left"/>
      <w:lvlText w:val="%1"/>
      <w:numFmt w:val="lowerLetter"/>
      <w:start w:val="1"/>
    </w:lvl>
    <w:lvl w:ilvl="1">
      <w:lvlJc w:val="left"/>
      <w:lvlText w:val="(%2)"/>
      <w:numFmt w:val="lowerRoman"/>
      <w:start w:val="2"/>
    </w:lvl>
  </w:abstractNum>
  <w:abstractNum w:abstractNumId="209">
    <w:nsid w:val="44B3FA61"/>
    <w:multiLevelType w:val="hybridMultilevel"/>
    <w:lvl w:ilvl="0">
      <w:lvlJc w:val="left"/>
      <w:lvlText w:val="(%1)"/>
      <w:numFmt w:val="lowerLetter"/>
      <w:start w:val="25"/>
    </w:lvl>
    <w:lvl w:ilvl="1">
      <w:lvlJc w:val="left"/>
      <w:lvlText w:val="%2"/>
      <w:numFmt w:val="lowerRoman"/>
      <w:start w:val="1"/>
    </w:lvl>
  </w:abstractNum>
  <w:abstractNum w:abstractNumId="210">
    <w:nsid w:val="1C0CA67C"/>
    <w:multiLevelType w:val="hybridMultilevel"/>
    <w:lvl w:ilvl="0">
      <w:lvlJc w:val="left"/>
      <w:lvlText w:val="(%1)"/>
      <w:numFmt w:val="lowerLetter"/>
      <w:start w:val="27"/>
    </w:lvl>
  </w:abstractNum>
  <w:abstractNum w:abstractNumId="211">
    <w:nsid w:val="3D206613"/>
    <w:multiLevelType w:val="hybridMultilevel"/>
    <w:lvl w:ilvl="0">
      <w:lvlJc w:val="left"/>
      <w:lvlText w:val="(%1)"/>
      <w:numFmt w:val="lowerLetter"/>
      <w:start w:val="28"/>
    </w:lvl>
  </w:abstractNum>
  <w:abstractNum w:abstractNumId="212">
    <w:nsid w:val="7993B662"/>
    <w:multiLevelType w:val="hybridMultilevel"/>
    <w:lvl w:ilvl="0">
      <w:lvlJc w:val="left"/>
      <w:lvlText w:val="(%1)"/>
      <w:numFmt w:val="lowerLetter"/>
      <w:start w:val="34"/>
    </w:lvl>
  </w:abstractNum>
  <w:abstractNum w:abstractNumId="213">
    <w:nsid w:val="3BAB699E"/>
    <w:multiLevelType w:val="hybridMultilevel"/>
    <w:lvl w:ilvl="0">
      <w:lvlJc w:val="left"/>
      <w:lvlText w:val="(%1)"/>
      <w:numFmt w:val="lowerLetter"/>
      <w:start w:val="38"/>
    </w:lvl>
  </w:abstractNum>
  <w:abstractNum w:abstractNumId="214">
    <w:nsid w:val="71315369"/>
    <w:multiLevelType w:val="hybridMultilevel"/>
    <w:lvl w:ilvl="0">
      <w:lvlJc w:val="left"/>
      <w:lvlText w:val="(%1)"/>
      <w:numFmt w:val="lowerRoman"/>
      <w:start w:val="14"/>
    </w:lvl>
    <w:lvl w:ilvl="1">
      <w:lvlJc w:val="left"/>
      <w:lvlText w:val="(%2)"/>
      <w:numFmt w:val="lowerLetter"/>
      <w:start w:val="41"/>
    </w:lvl>
  </w:abstractNum>
  <w:abstractNum w:abstractNumId="215">
    <w:nsid w:val="7BCFBAFC"/>
    <w:multiLevelType w:val="hybridMultilevel"/>
    <w:lvl w:ilvl="0">
      <w:lvlJc w:val="left"/>
      <w:lvlText w:val="(%1)"/>
      <w:numFmt w:val="decimal"/>
      <w:start w:val="4"/>
    </w:lvl>
  </w:abstractNum>
  <w:abstractNum w:abstractNumId="216">
    <w:nsid w:val="17859F72"/>
    <w:multiLevelType w:val="hybridMultilevel"/>
    <w:lvl w:ilvl="0">
      <w:lvlJc w:val="left"/>
      <w:lvlText w:val="(%1)"/>
      <w:numFmt w:val="lowerLetter"/>
      <w:start w:val="42"/>
    </w:lvl>
  </w:abstractNum>
  <w:abstractNum w:abstractNumId="217">
    <w:nsid w:val="3AA10581"/>
    <w:multiLevelType w:val="hybridMultilevel"/>
    <w:lvl w:ilvl="0">
      <w:lvlJc w:val="left"/>
      <w:lvlText w:val="(%1)"/>
      <w:numFmt w:val="lowerLetter"/>
      <w:start w:val="45"/>
    </w:lvl>
  </w:abstractNum>
  <w:abstractNum w:abstractNumId="218">
    <w:nsid w:val="63DE60CD"/>
    <w:multiLevelType w:val="hybridMultilevel"/>
    <w:lvl w:ilvl="0">
      <w:lvlJc w:val="left"/>
      <w:lvlText w:val="(%1)"/>
      <w:numFmt w:val="lowerLetter"/>
      <w:start w:val="53"/>
    </w:lvl>
  </w:abstractNum>
  <w:abstractNum w:abstractNumId="219">
    <w:nsid w:val="621AF471"/>
    <w:multiLevelType w:val="hybridMultilevel"/>
    <w:lvl w:ilvl="0">
      <w:lvlJc w:val="left"/>
      <w:lvlText w:val="(%1)"/>
      <w:numFmt w:val="lowerLetter"/>
      <w:start w:val="54"/>
    </w:lvl>
  </w:abstractNum>
  <w:abstractNum w:abstractNumId="220">
    <w:nsid w:val="73CFE165"/>
    <w:multiLevelType w:val="hybridMultilevel"/>
    <w:lvl w:ilvl="0">
      <w:lvlJc w:val="left"/>
      <w:lvlText w:val="(%1)"/>
      <w:numFmt w:val="lowerLetter"/>
      <w:start w:val="56"/>
    </w:lvl>
  </w:abstractNum>
  <w:abstractNum w:abstractNumId="221">
    <w:nsid w:val="20F88EA6"/>
    <w:multiLevelType w:val="hybridMultilevel"/>
    <w:lvl w:ilvl="0">
      <w:lvlJc w:val="left"/>
      <w:lvlText w:val="☐"/>
      <w:numFmt w:val="bullet"/>
      <w:start w:val="1"/>
    </w:lvl>
  </w:abstractNum>
  <w:abstractNum w:abstractNumId="222">
    <w:nsid w:val="617C843E"/>
    <w:multiLevelType w:val="hybridMultilevel"/>
    <w:lvl w:ilvl="0">
      <w:lvlJc w:val="left"/>
      <w:lvlText w:val="1"/>
      <w:numFmt w:val="bullet"/>
      <w:start w:val="1"/>
    </w:lvl>
  </w:abstractNum>
  <w:abstractNum w:abstractNumId="223">
    <w:nsid w:val="7B541FAB"/>
    <w:multiLevelType w:val="hybridMultilevel"/>
    <w:lvl w:ilvl="0">
      <w:lvlJc w:val="left"/>
      <w:lvlText w:val="%1."/>
      <w:numFmt w:val="decimal"/>
      <w:start w:val="1"/>
    </w:lvl>
  </w:abstractNum>
  <w:abstractNum w:abstractNumId="224">
    <w:nsid w:val="2A79EC49"/>
    <w:multiLevelType w:val="hybridMultilevel"/>
    <w:lvl w:ilvl="0">
      <w:lvlJc w:val="left"/>
      <w:lvlText w:val="(%1)"/>
      <w:numFmt w:val="lowerLetter"/>
      <w:start w:val="1"/>
    </w:lvl>
  </w:abstractNum>
  <w:abstractNum w:abstractNumId="225">
    <w:nsid w:val="338125CF"/>
    <w:multiLevelType w:val="hybridMultilevel"/>
    <w:lvl w:ilvl="0">
      <w:lvlJc w:val="left"/>
      <w:lvlText w:val="%1"/>
      <w:numFmt w:val="decimal"/>
      <w:start w:val="1"/>
    </w:lvl>
    <w:lvl w:ilvl="1">
      <w:lvlJc w:val="left"/>
      <w:lvlText w:val="(%2)"/>
      <w:numFmt w:val="lowerLetter"/>
      <w:start w:val="2"/>
    </w:lvl>
  </w:abstractNum>
  <w:abstractNum w:abstractNumId="226">
    <w:nsid w:val="47C7C971"/>
    <w:multiLevelType w:val="hybridMultilevel"/>
    <w:lvl w:ilvl="0">
      <w:lvlJc w:val="left"/>
      <w:lvlText w:val="%1."/>
      <w:numFmt w:val="decimal"/>
      <w:start w:val="5"/>
    </w:lvl>
    <w:lvl w:ilvl="1">
      <w:lvlJc w:val="left"/>
      <w:lvlText w:val="(%2)"/>
      <w:numFmt w:val="lowerLetter"/>
      <w:start w:val="1"/>
    </w:lvl>
  </w:abstractNum>
  <w:abstractNum w:abstractNumId="227">
    <w:nsid w:val="46F8284B"/>
    <w:multiLevelType w:val="hybridMultilevel"/>
    <w:lvl w:ilvl="0">
      <w:lvlJc w:val="left"/>
      <w:lvlText w:val="%1."/>
      <w:numFmt w:val="decimal"/>
      <w:start w:val="6"/>
    </w:lvl>
    <w:lvl w:ilvl="1">
      <w:lvlJc w:val="left"/>
      <w:lvlText w:val="(%2)"/>
      <w:numFmt w:val="lowerLetter"/>
      <w:start w:val="1"/>
    </w:lvl>
  </w:abstractNum>
  <w:abstractNum w:abstractNumId="228">
    <w:nsid w:val="4FA327CE"/>
    <w:multiLevelType w:val="hybridMultilevel"/>
    <w:lvl w:ilvl="0">
      <w:lvlJc w:val="left"/>
      <w:lvlText w:val="(%1)"/>
      <w:numFmt w:val="lowerLetter"/>
      <w:start w:val="4"/>
    </w:lvl>
  </w:abstractNum>
  <w:abstractNum w:abstractNumId="229">
    <w:nsid w:val="1873983A"/>
    <w:multiLevelType w:val="hybridMultilevel"/>
    <w:lvl w:ilvl="0">
      <w:lvlJc w:val="left"/>
      <w:lvlText w:val="%1."/>
      <w:numFmt w:val="decimal"/>
      <w:start w:val="9"/>
    </w:lvl>
    <w:lvl w:ilvl="1">
      <w:lvlJc w:val="left"/>
      <w:lvlText w:val="(%2)"/>
      <w:numFmt w:val="lowerLetter"/>
      <w:start w:val="1"/>
    </w:lvl>
  </w:abstractNum>
  <w:abstractNum w:abstractNumId="230">
    <w:nsid w:val="3D2DD275"/>
    <w:multiLevelType w:val="hybridMultilevel"/>
    <w:lvl w:ilvl="0">
      <w:lvlJc w:val="left"/>
      <w:lvlText w:val="(%1)"/>
      <w:numFmt w:val="lowerLetter"/>
      <w:start w:val="1"/>
    </w:lvl>
  </w:abstractNum>
  <w:abstractNum w:abstractNumId="231">
    <w:nsid w:val="2E17ECA7"/>
    <w:multiLevelType w:val="hybridMultilevel"/>
    <w:lvl w:ilvl="0">
      <w:lvlJc w:val="left"/>
      <w:lvlText w:val="%1"/>
      <w:numFmt w:val="decimal"/>
      <w:start w:val="1"/>
    </w:lvl>
    <w:lvl w:ilvl="1">
      <w:lvlJc w:val="left"/>
      <w:lvlText w:val="(%2)"/>
      <w:numFmt w:val="lowerLetter"/>
      <w:start w:val="2"/>
    </w:lvl>
  </w:abstractNum>
  <w:abstractNum w:abstractNumId="232">
    <w:nsid w:val="53B2564F"/>
    <w:multiLevelType w:val="hybridMultilevel"/>
    <w:lvl w:ilvl="0">
      <w:lvlJc w:val="left"/>
      <w:lvlText w:val="%1."/>
      <w:numFmt w:val="decimal"/>
      <w:start w:val="11"/>
    </w:lvl>
    <w:lvl w:ilvl="1">
      <w:lvlJc w:val="left"/>
      <w:lvlText w:val="(%2)"/>
      <w:numFmt w:val="lowerLetter"/>
      <w:start w:val="1"/>
    </w:lvl>
  </w:abstractNum>
  <w:abstractNum w:abstractNumId="233">
    <w:nsid w:val="75509D76"/>
    <w:multiLevelType w:val="hybridMultilevel"/>
    <w:lvl w:ilvl="0">
      <w:lvlJc w:val="left"/>
      <w:lvlText w:val="%1"/>
      <w:numFmt w:val="decimal"/>
      <w:start w:val="1"/>
    </w:lvl>
    <w:lvl w:ilvl="1">
      <w:lvlJc w:val="left"/>
      <w:lvlText w:val="(%2)"/>
      <w:numFmt w:val="lowerLetter"/>
      <w:start w:val="3"/>
    </w:lvl>
  </w:abstractNum>
  <w:abstractNum w:abstractNumId="234">
    <w:nsid w:val="1AF7F0EA"/>
    <w:multiLevelType w:val="hybridMultilevel"/>
    <w:lvl w:ilvl="0">
      <w:lvlJc w:val="left"/>
      <w:lvlText w:val="%1."/>
      <w:numFmt w:val="decimal"/>
      <w:start w:val="13"/>
    </w:lvl>
    <w:lvl w:ilvl="1">
      <w:lvlJc w:val="left"/>
      <w:lvlText w:val="%2"/>
      <w:numFmt w:val="lowerLetter"/>
      <w:start w:val="1"/>
    </w:lvl>
  </w:abstractNum>
  <w:abstractNum w:abstractNumId="235">
    <w:nsid w:val="4DA32C7E"/>
    <w:multiLevelType w:val="hybridMultilevel"/>
    <w:lvl w:ilvl="0">
      <w:lvlJc w:val="left"/>
      <w:lvlText w:val="%1."/>
      <w:numFmt w:val="decimal"/>
      <w:start w:val="16"/>
    </w:lvl>
    <w:lvl w:ilvl="1">
      <w:lvlJc w:val="left"/>
      <w:lvlText w:val="(%2)"/>
      <w:numFmt w:val="lowerLetter"/>
      <w:start w:val="1"/>
    </w:lvl>
  </w:abstractNum>
  <w:abstractNum w:abstractNumId="236">
    <w:nsid w:val="6EC68664"/>
    <w:multiLevelType w:val="hybridMultilevel"/>
    <w:lvl w:ilvl="0">
      <w:lvlJc w:val="left"/>
      <w:lvlText w:val="(%1)"/>
      <w:numFmt w:val="lowerLetter"/>
      <w:start w:val="3"/>
    </w:lvl>
  </w:abstractNum>
  <w:abstractNum w:abstractNumId="237">
    <w:nsid w:val="E0D31FF"/>
    <w:multiLevelType w:val="hybridMultilevel"/>
    <w:lvl w:ilvl="0">
      <w:lvlJc w:val="left"/>
      <w:lvlText w:val="(%1)"/>
      <w:numFmt w:val="lowerLetter"/>
      <w:start w:val="5"/>
    </w:lvl>
  </w:abstractNum>
  <w:abstractNum w:abstractNumId="238">
    <w:nsid w:val="2FD0AD81"/>
    <w:multiLevelType w:val="hybridMultilevel"/>
    <w:lvl w:ilvl="0">
      <w:lvlJc w:val="left"/>
      <w:lvlText w:val="☐"/>
      <w:numFmt w:val="bullet"/>
      <w:start w:val="1"/>
    </w:lvl>
  </w:abstractNum>
  <w:abstractNum w:abstractNumId="239">
    <w:nsid w:val="1978EBEB"/>
    <w:multiLevelType w:val="hybridMultilevel"/>
    <w:lvl w:ilvl="0">
      <w:lvlJc w:val="left"/>
      <w:lvlText w:val="1"/>
      <w:numFmt w:val="bullet"/>
      <w:start w:val="1"/>
    </w:lvl>
  </w:abstractNum>
  <w:abstractNum w:abstractNumId="240">
    <w:nsid w:val="52C12C61"/>
    <w:multiLevelType w:val="hybridMultilevel"/>
    <w:lvl w:ilvl="0">
      <w:lvlJc w:val="left"/>
      <w:lvlText w:val="%1."/>
      <w:numFmt w:val="decimal"/>
      <w:start w:val="1"/>
    </w:lvl>
  </w:abstractNum>
  <w:abstractNum w:abstractNumId="241">
    <w:nsid w:val="4BDD53FD"/>
    <w:multiLevelType w:val="hybridMultilevel"/>
    <w:lvl w:ilvl="0">
      <w:lvlJc w:val="left"/>
      <w:lvlText w:val="%1"/>
      <w:numFmt w:val="decimal"/>
      <w:start w:val="1"/>
    </w:lvl>
    <w:lvl w:ilvl="1">
      <w:lvlJc w:val="left"/>
      <w:lvlText w:val="(%2)"/>
      <w:numFmt w:val="lowerLetter"/>
      <w:start w:val="1"/>
    </w:lvl>
  </w:abstractNum>
  <w:abstractNum w:abstractNumId="242">
    <w:nsid w:val="569951FE"/>
    <w:multiLevelType w:val="hybridMultilevel"/>
    <w:lvl w:ilvl="0">
      <w:lvlJc w:val="left"/>
      <w:lvlText w:val="%1."/>
      <w:numFmt w:val="decimal"/>
      <w:start w:val="5"/>
    </w:lvl>
    <w:lvl w:ilvl="1">
      <w:lvlJc w:val="left"/>
      <w:lvlText w:val="%2"/>
      <w:numFmt w:val="lowerLetter"/>
      <w:start w:val="1"/>
    </w:lvl>
  </w:abstractNum>
  <w:abstractNum w:abstractNumId="243">
    <w:nsid w:val="4C54E2C3"/>
    <w:multiLevelType w:val="hybridMultilevel"/>
    <w:lvl w:ilvl="0">
      <w:lvlJc w:val="left"/>
      <w:lvlText w:val="(%1)"/>
      <w:numFmt w:val="lowerLetter"/>
      <w:start w:val="1"/>
    </w:lvl>
  </w:abstractNum>
  <w:abstractNum w:abstractNumId="244">
    <w:nsid w:val="788BD9B"/>
    <w:multiLevelType w:val="hybridMultilevel"/>
    <w:lvl w:ilvl="0">
      <w:lvlJc w:val="left"/>
      <w:lvlText w:val="%1."/>
      <w:numFmt w:val="decimal"/>
      <w:start w:val="6"/>
    </w:lvl>
  </w:abstractNum>
  <w:abstractNum w:abstractNumId="245">
    <w:nsid w:val="47CAA567"/>
    <w:multiLevelType w:val="hybridMultilevel"/>
    <w:lvl w:ilvl="0">
      <w:lvlJc w:val="left"/>
      <w:lvlText w:val="%1."/>
      <w:numFmt w:val="decimal"/>
      <w:start w:val="8"/>
    </w:lvl>
    <w:lvl w:ilvl="1">
      <w:lvlJc w:val="left"/>
      <w:lvlText w:val="(%2)"/>
      <w:numFmt w:val="lowerLetter"/>
      <w:start w:val="1"/>
    </w:lvl>
  </w:abstractNum>
  <w:abstractNum w:abstractNumId="246">
    <w:nsid w:val="48249DBF"/>
    <w:multiLevelType w:val="hybridMultilevel"/>
    <w:lvl w:ilvl="0">
      <w:lvlJc w:val="left"/>
      <w:lvlText w:val="(%1)"/>
      <w:numFmt w:val="lowerLetter"/>
      <w:start w:val="4"/>
    </w:lvl>
  </w:abstractNum>
  <w:abstractNum w:abstractNumId="247">
    <w:nsid w:val="1F0E5D0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8">
    <w:nsid w:val="26BAAE9"/>
    <w:multiLevelType w:val="hybridMultilevel"/>
    <w:lvl w:ilvl="0">
      <w:lvlJc w:val="left"/>
      <w:lvlText w:val="(%1)"/>
      <w:numFmt w:val="lowerRoman"/>
      <w:start w:val="3"/>
    </w:lvl>
  </w:abstractNum>
  <w:abstractNum w:abstractNumId="249">
    <w:nsid w:val="2C02FE8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50">
    <w:nsid w:val="129517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51">
    <w:nsid w:val="763B8C4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52">
    <w:nsid w:val="4CFB8D32"/>
    <w:multiLevelType w:val="hybridMultilevel"/>
    <w:lvl w:ilvl="0">
      <w:lvlJc w:val="left"/>
      <w:lvlText w:val="(%1)"/>
      <w:numFmt w:val="lowerLetter"/>
      <w:start w:val="3"/>
    </w:lvl>
  </w:abstractNum>
  <w:abstractNum w:abstractNumId="253">
    <w:nsid w:val="62A5D5BD"/>
    <w:multiLevelType w:val="hybridMultilevel"/>
    <w:lvl w:ilvl="0">
      <w:lvlJc w:val="left"/>
      <w:lvlText w:val="%1."/>
      <w:numFmt w:val="decimal"/>
      <w:start w:val="11"/>
    </w:lvl>
    <w:lvl w:ilvl="1">
      <w:lvlJc w:val="left"/>
      <w:lvlText w:val="(%2)"/>
      <w:numFmt w:val="lowerLetter"/>
      <w:start w:val="1"/>
    </w:lvl>
  </w:abstractNum>
  <w:abstractNum w:abstractNumId="254">
    <w:nsid w:val="718FABF9"/>
    <w:multiLevelType w:val="hybridMultilevel"/>
    <w:lvl w:ilvl="0">
      <w:lvlJc w:val="left"/>
      <w:lvlText w:val="%1."/>
      <w:numFmt w:val="decimal"/>
      <w:start w:val="12"/>
    </w:lvl>
  </w:abstractNum>
  <w:abstractNum w:abstractNumId="255">
    <w:nsid w:val="7775797C"/>
    <w:multiLevelType w:val="hybridMultilevel"/>
    <w:lvl w:ilvl="0">
      <w:lvlJc w:val="left"/>
      <w:lvlText w:val="%1."/>
      <w:numFmt w:val="decimal"/>
      <w:start w:val="13"/>
    </w:lvl>
    <w:lvl w:ilvl="1">
      <w:lvlJc w:val="left"/>
      <w:lvlText w:val="(%2)"/>
      <w:numFmt w:val="lowerLetter"/>
      <w:start w:val="1"/>
    </w:lvl>
  </w:abstractNum>
  <w:abstractNum w:abstractNumId="256">
    <w:nsid w:val="1626FB8C"/>
    <w:multiLevelType w:val="hybridMultilevel"/>
    <w:lvl w:ilvl="0">
      <w:lvlJc w:val="left"/>
      <w:lvlText w:val="%1"/>
      <w:numFmt w:val="decimal"/>
      <w:start w:val="1"/>
    </w:lvl>
    <w:lvl w:ilvl="1">
      <w:lvlJc w:val="left"/>
      <w:lvlText w:val="(%2)"/>
      <w:numFmt w:val="lowerLetter"/>
      <w:start w:val="2"/>
    </w:lvl>
  </w:abstractNum>
  <w:abstractNum w:abstractNumId="257">
    <w:nsid w:val="3957756A"/>
    <w:multiLevelType w:val="hybridMultilevel"/>
    <w:lvl w:ilvl="0">
      <w:lvlJc w:val="left"/>
      <w:lvlText w:val="%1."/>
      <w:numFmt w:val="decimal"/>
      <w:start w:val="14"/>
    </w:lvl>
    <w:lvl w:ilvl="1">
      <w:lvlJc w:val="left"/>
      <w:lvlText w:val="%2"/>
      <w:numFmt w:val="lowerLetter"/>
      <w:start w:val="1"/>
    </w:lvl>
  </w:abstractNum>
  <w:abstractNum w:abstractNumId="258">
    <w:nsid w:val="3E6DA1C7"/>
    <w:multiLevelType w:val="hybridMultilevel"/>
    <w:lvl w:ilvl="0">
      <w:lvlJc w:val="left"/>
      <w:lvlText w:val="%1."/>
      <w:numFmt w:val="decimal"/>
      <w:start w:val="16"/>
    </w:lvl>
  </w:abstractNum>
  <w:abstractNum w:abstractNumId="259">
    <w:nsid w:val="65CA235B"/>
    <w:multiLevelType w:val="hybridMultilevel"/>
    <w:lvl w:ilvl="0">
      <w:lvlJc w:val="left"/>
      <w:lvlText w:val="%1."/>
      <w:numFmt w:val="decimal"/>
      <w:start w:val="21"/>
    </w:lvl>
    <w:lvl w:ilvl="1">
      <w:lvlJc w:val="left"/>
      <w:lvlText w:val="(%2)"/>
      <w:numFmt w:val="lowerLetter"/>
      <w:start w:val="1"/>
    </w:lvl>
  </w:abstractNum>
  <w:abstractNum w:abstractNumId="260">
    <w:nsid w:val="51CB0DA4"/>
    <w:multiLevelType w:val="hybridMultilevel"/>
    <w:lvl w:ilvl="0">
      <w:lvlJc w:val="left"/>
      <w:lvlText w:val="(%1)"/>
      <w:numFmt w:val="lowerLetter"/>
      <w:start w:val="2"/>
    </w:lvl>
    <w:lvl w:ilvl="1">
      <w:lvlJc w:val="left"/>
      <w:lvlText w:val="*"/>
      <w:numFmt w:val="bullet"/>
      <w:start w:val="1"/>
    </w:lvl>
  </w:abstractNum>
  <w:abstractNum w:abstractNumId="261">
    <w:nsid w:val="7B9B743C"/>
    <w:multiLevelType w:val="hybridMultilevel"/>
    <w:lvl w:ilvl="0">
      <w:lvlJc w:val="left"/>
      <w:lvlText w:val="%1."/>
      <w:numFmt w:val="decimal"/>
      <w:start w:val="1"/>
    </w:lvl>
  </w:abstractNum>
  <w:abstractNum w:abstractNumId="262">
    <w:nsid w:val="13E21002"/>
    <w:multiLevelType w:val="hybridMultilevel"/>
    <w:lvl w:ilvl="0">
      <w:lvlJc w:val="left"/>
      <w:lvlText w:val="%1."/>
      <w:numFmt w:val="decimal"/>
      <w:start w:val="4"/>
    </w:lvl>
  </w:abstractNum>
  <w:abstractNum w:abstractNumId="263">
    <w:nsid w:val="257D63F4"/>
    <w:multiLevelType w:val="hybridMultilevel"/>
    <w:lvl w:ilvl="0">
      <w:lvlJc w:val="left"/>
      <w:lvlText w:val="%1."/>
      <w:numFmt w:val="decimal"/>
      <w:start w:val="5"/>
    </w:lvl>
    <w:lvl w:ilvl="1">
      <w:lvlJc w:val="left"/>
      <w:lvlText w:val="(%2)"/>
      <w:numFmt w:val="lowerLetter"/>
      <w:start w:val="1"/>
    </w:lvl>
  </w:abstractNum>
  <w:abstractNum w:abstractNumId="264">
    <w:nsid w:val="70EC11B2"/>
    <w:multiLevelType w:val="hybridMultilevel"/>
    <w:lvl w:ilvl="0">
      <w:lvlJc w:val="left"/>
      <w:lvlText w:val="%1"/>
      <w:numFmt w:val="decimal"/>
      <w:start w:val="1"/>
    </w:lvl>
    <w:lvl w:ilvl="1">
      <w:lvlJc w:val="left"/>
      <w:lvlText w:val="(%2)"/>
      <w:numFmt w:val="lowerLetter"/>
      <w:start w:val="3"/>
    </w:lvl>
  </w:abstractNum>
  <w:abstractNum w:abstractNumId="265">
    <w:nsid w:val="2EDA00ED"/>
    <w:multiLevelType w:val="hybridMultilevel"/>
    <w:lvl w:ilvl="0">
      <w:lvlJc w:val="left"/>
      <w:lvlText w:val="%1."/>
      <w:numFmt w:val="decimal"/>
      <w:start w:val="7"/>
    </w:lvl>
    <w:lvl w:ilvl="1">
      <w:lvlJc w:val="left"/>
      <w:lvlText w:val="%2"/>
      <w:numFmt w:val="lowerLetter"/>
      <w:start w:val="1"/>
    </w:lvl>
  </w:abstractNum>
  <w:abstractNum w:abstractNumId="266">
    <w:nsid w:val="73209072"/>
    <w:multiLevelType w:val="hybridMultilevel"/>
    <w:lvl w:ilvl="0">
      <w:lvlJc w:val="left"/>
      <w:lvlText w:val="(%1)"/>
      <w:numFmt w:val="lowerLetter"/>
      <w:start w:val="1"/>
    </w:lvl>
  </w:abstractNum>
  <w:abstractNum w:abstractNumId="267">
    <w:nsid w:val="5FB29816"/>
    <w:multiLevelType w:val="hybridMultilevel"/>
    <w:lvl w:ilvl="0">
      <w:lvlJc w:val="left"/>
      <w:lvlText w:val="%1"/>
      <w:numFmt w:val="decimal"/>
      <w:start w:val="1"/>
    </w:lvl>
    <w:lvl w:ilvl="1">
      <w:lvlJc w:val="left"/>
      <w:lvlText w:val="(%2)"/>
      <w:numFmt w:val="lowerLetter"/>
      <w:start w:val="2"/>
    </w:lvl>
  </w:abstractNum>
  <w:abstractNum w:abstractNumId="268">
    <w:nsid w:val="3CE732EC"/>
    <w:multiLevelType w:val="hybridMultilevel"/>
    <w:lvl w:ilvl="0">
      <w:lvlJc w:val="left"/>
      <w:lvlText w:val="%1."/>
      <w:numFmt w:val="decimal"/>
      <w:start w:val="11"/>
    </w:lvl>
    <w:lvl w:ilvl="1">
      <w:lvlJc w:val="left"/>
      <w:lvlText w:val="(%2)"/>
      <w:numFmt w:val="lowerLetter"/>
      <w:start w:val="1"/>
    </w:lvl>
  </w:abstractNum>
  <w:abstractNum w:abstractNumId="269">
    <w:nsid w:val="22F13DF3"/>
    <w:multiLevelType w:val="hybridMultilevel"/>
    <w:lvl w:ilvl="0">
      <w:lvlJc w:val="left"/>
      <w:lvlText w:val="(%1)"/>
      <w:numFmt w:val="lowerLetter"/>
      <w:start w:val="2"/>
    </w:lvl>
  </w:abstractNum>
  <w:abstractNum w:abstractNumId="270">
    <w:nsid w:val="792B8401"/>
    <w:multiLevelType w:val="hybridMultilevel"/>
    <w:lvl w:ilvl="0">
      <w:lvlJc w:val="left"/>
      <w:lvlText w:val="%1."/>
      <w:numFmt w:val="decimal"/>
      <w:start w:val="12"/>
    </w:lvl>
  </w:abstractNum>
  <w:abstractNum w:abstractNumId="271">
    <w:nsid w:val="FA85F4D"/>
    <w:multiLevelType w:val="hybridMultilevel"/>
    <w:lvl w:ilvl="0">
      <w:lvlJc w:val="left"/>
      <w:lvlText w:val="%1."/>
      <w:numFmt w:val="decimal"/>
      <w:start w:val="15"/>
    </w:lvl>
  </w:abstractNum>
  <w:abstractNum w:abstractNumId="272">
    <w:nsid w:val="6ECE91F0"/>
    <w:multiLevelType w:val="hybridMultilevel"/>
    <w:lvl w:ilvl="0">
      <w:lvlJc w:val="left"/>
      <w:lvlText w:val="%1."/>
      <w:numFmt w:val="decimal"/>
      <w:start w:val="16"/>
    </w:lvl>
    <w:lvl w:ilvl="1">
      <w:lvlJc w:val="left"/>
      <w:lvlText w:val="(%2)"/>
      <w:numFmt w:val="lowerLetter"/>
      <w:start w:val="1"/>
    </w:lvl>
  </w:abstractNum>
  <w:abstractNum w:abstractNumId="273">
    <w:nsid w:val="4FC4D600"/>
    <w:multiLevelType w:val="hybridMultilevel"/>
    <w:lvl w:ilvl="0">
      <w:lvlJc w:val="left"/>
      <w:lvlText w:val="%1."/>
      <w:numFmt w:val="decimal"/>
      <w:start w:val="18"/>
    </w:lvl>
  </w:abstractNum>
  <w:abstractNum w:abstractNumId="274">
    <w:nsid w:val="5BFD4210"/>
    <w:multiLevelType w:val="hybridMultilevel"/>
    <w:lvl w:ilvl="0">
      <w:lvlJc w:val="left"/>
      <w:lvlText w:val="%1."/>
      <w:numFmt w:val="decimal"/>
      <w:start w:val="20"/>
    </w:lvl>
  </w:abstractNum>
  <w:abstractNum w:abstractNumId="275">
    <w:nsid w:val="76574F8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6">
    <w:nsid w:val="178F7B67"/>
    <w:multiLevelType w:val="hybridMultilevel"/>
    <w:lvl w:ilvl="0">
      <w:lvlJc w:val="left"/>
      <w:lvlText w:val="(%1)"/>
      <w:numFmt w:val="lowerRoman"/>
      <w:start w:val="7"/>
    </w:lvl>
  </w:abstractNum>
  <w:abstractNum w:abstractNumId="277">
    <w:nsid w:val="2421DF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78">
    <w:nsid w:val="1565AC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9">
    <w:nsid w:val="19FB265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0">
    <w:nsid w:val="5024DE5B"/>
    <w:multiLevelType w:val="hybridMultilevel"/>
    <w:lvl w:ilvl="0">
      <w:lvlJc w:val="left"/>
      <w:lvlText w:val="1"/>
      <w:numFmt w:val="bullet"/>
      <w:start w:val="1"/>
    </w:lvl>
  </w:abstractNum>
  <w:abstractNum w:abstractNumId="281">
    <w:nsid w:val="168EFE17"/>
    <w:multiLevelType w:val="hybridMultilevel"/>
    <w:lvl w:ilvl="0">
      <w:lvlJc w:val="left"/>
      <w:lvlText w:val="2"/>
      <w:numFmt w:val="bullet"/>
      <w:start w:val="1"/>
    </w:lvl>
  </w:abstractNum>
  <w:abstractNum w:abstractNumId="282">
    <w:nsid w:val="1036B29F"/>
    <w:multiLevelType w:val="hybridMultilevel"/>
    <w:lvl w:ilvl="0">
      <w:lvlJc w:val="left"/>
      <w:lvlText w:val="%1."/>
      <w:numFmt w:val="decimal"/>
      <w:start w:val="4"/>
    </w:lvl>
    <w:lvl w:ilvl="1">
      <w:lvlJc w:val="left"/>
      <w:lvlText w:val="(%2)"/>
      <w:numFmt w:val="lowerLetter"/>
      <w:start w:val="1"/>
    </w:lvl>
  </w:abstractNum>
  <w:abstractNum w:abstractNumId="283">
    <w:nsid w:val="1D206B8E"/>
    <w:multiLevelType w:val="hybridMultilevel"/>
    <w:lvl w:ilvl="0">
      <w:lvlJc w:val="left"/>
      <w:lvlText w:val="(%1)"/>
      <w:numFmt w:val="lowerLetter"/>
      <w:start w:val="2"/>
    </w:lvl>
  </w:abstractNum>
  <w:abstractNum w:abstractNumId="284">
    <w:nsid w:val="7934D3D4"/>
    <w:multiLevelType w:val="hybridMultilevel"/>
    <w:lvl w:ilvl="0">
      <w:lvlJc w:val="left"/>
      <w:lvlText w:val="%1"/>
      <w:numFmt w:val="lowerLetter"/>
      <w:start w:val="1"/>
    </w:lvl>
    <w:lvl w:ilvl="1">
      <w:lvlJc w:val="left"/>
      <w:lvlText w:val="(%2)"/>
      <w:numFmt w:val="lowerRoman"/>
      <w:start w:val="1"/>
    </w:lvl>
  </w:abstractNum>
  <w:abstractNum w:abstractNumId="285">
    <w:nsid w:val="1C65E98"/>
    <w:multiLevelType w:val="hybridMultilevel"/>
    <w:lvl w:ilvl="0">
      <w:lvlJc w:val="left"/>
      <w:lvlText w:val="(%1)"/>
      <w:numFmt w:val="lowerLetter"/>
      <w:start w:val="3"/>
    </w:lvl>
    <w:lvl w:ilvl="1">
      <w:lvlJc w:val="left"/>
      <w:lvlText w:val="%2"/>
      <w:numFmt w:val="lowerRoman"/>
      <w:start w:val="1"/>
    </w:lvl>
  </w:abstractNum>
  <w:abstractNum w:abstractNumId="286">
    <w:nsid w:val="1495E50A"/>
    <w:multiLevelType w:val="hybridMultilevel"/>
    <w:lvl w:ilvl="0">
      <w:lvlJc w:val="left"/>
      <w:lvlText w:val="%1."/>
      <w:numFmt w:val="decimal"/>
      <w:start w:val="6"/>
    </w:lvl>
    <w:lvl w:ilvl="1">
      <w:lvlJc w:val="left"/>
      <w:lvlText w:val="(%2)"/>
      <w:numFmt w:val="lowerLetter"/>
      <w:start w:val="1"/>
    </w:lvl>
  </w:abstractNum>
  <w:abstractNum w:abstractNumId="287">
    <w:nsid w:val="F5BCF6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8">
    <w:nsid w:val="3B1DD40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9">
    <w:nsid w:val="530386D1"/>
    <w:multiLevelType w:val="hybridMultilevel"/>
    <w:lvl w:ilvl="0">
      <w:lvlJc w:val="left"/>
      <w:lvlText w:val="(%1)"/>
      <w:numFmt w:val="lowerLetter"/>
      <w:start w:val="2"/>
    </w:lvl>
  </w:abstractNum>
  <w:abstractNum w:abstractNumId="290">
    <w:nsid w:val="7525F2BC"/>
    <w:multiLevelType w:val="hybridMultilevel"/>
    <w:lvl w:ilvl="0">
      <w:lvlJc w:val="left"/>
      <w:lvlText w:val="%1"/>
      <w:numFmt w:val="lowerLetter"/>
      <w:start w:val="1"/>
    </w:lvl>
    <w:lvl w:ilvl="1">
      <w:lvlJc w:val="left"/>
      <w:lvlText w:val="(%2)"/>
      <w:numFmt w:val="lowerLetter"/>
      <w:start w:val="3"/>
    </w:lvl>
  </w:abstractNum>
  <w:abstractNum w:abstractNumId="291">
    <w:nsid w:val="CE8E1A7"/>
    <w:multiLevelType w:val="hybridMultilevel"/>
    <w:lvl w:ilvl="0">
      <w:lvlJc w:val="left"/>
      <w:lvlText w:val="(%1)"/>
      <w:numFmt w:val="lowerLetter"/>
      <w:start w:val="9"/>
    </w:lvl>
    <w:lvl w:ilvl="1">
      <w:lvlJc w:val="left"/>
      <w:lvlText w:val="(%2)"/>
      <w:numFmt w:val="lowerLetter"/>
      <w:start w:val="4"/>
    </w:lvl>
  </w:abstractNum>
  <w:abstractNum w:abstractNumId="292">
    <w:nsid w:val="4E9EFB0D"/>
    <w:multiLevelType w:val="hybridMultilevel"/>
    <w:lvl w:ilvl="0">
      <w:lvlJc w:val="left"/>
      <w:lvlText w:val="%1."/>
      <w:numFmt w:val="decimal"/>
      <w:start w:val="8"/>
    </w:lvl>
    <w:lvl w:ilvl="1">
      <w:lvlJc w:val="left"/>
      <w:lvlText w:val="(%2)"/>
      <w:numFmt w:val="lowerLetter"/>
      <w:start w:val="1"/>
    </w:lvl>
  </w:abstractNum>
  <w:abstractNum w:abstractNumId="293">
    <w:nsid w:val="90802BE"/>
    <w:multiLevelType w:val="hybridMultilevel"/>
    <w:lvl w:ilvl="0">
      <w:lvlJc w:val="left"/>
      <w:lvlText w:val="(%1)"/>
      <w:numFmt w:val="lowerLetter"/>
      <w:start w:val="3"/>
    </w:lvl>
  </w:abstractNum>
  <w:abstractNum w:abstractNumId="294">
    <w:nsid w:val="3266459B"/>
    <w:multiLevelType w:val="hybridMultilevel"/>
    <w:lvl w:ilvl="0">
      <w:lvlJc w:val="left"/>
      <w:lvlText w:val="%1."/>
      <w:numFmt w:val="decimal"/>
      <w:start w:val="9"/>
    </w:lvl>
  </w:abstractNum>
  <w:abstractNum w:abstractNumId="295">
    <w:nsid w:val="3F8B0CBF"/>
    <w:multiLevelType w:val="hybridMultilevel"/>
    <w:lvl w:ilvl="0">
      <w:lvlJc w:val="left"/>
      <w:lvlText w:val="%1."/>
      <w:numFmt w:val="decimal"/>
      <w:start w:val="10"/>
    </w:lvl>
    <w:lvl w:ilvl="1">
      <w:lvlJc w:val="left"/>
      <w:lvlText w:val="(%2)"/>
      <w:numFmt w:val="lowerLetter"/>
      <w:start w:val="1"/>
    </w:lvl>
  </w:abstractNum>
  <w:abstractNum w:abstractNumId="296">
    <w:nsid w:val="37E203AB"/>
    <w:multiLevelType w:val="hybridMultilevel"/>
    <w:lvl w:ilvl="0">
      <w:lvlJc w:val="left"/>
      <w:lvlText w:val="%1"/>
      <w:numFmt w:val="decimal"/>
      <w:start w:val="1"/>
    </w:lvl>
    <w:lvl w:ilvl="1">
      <w:lvlJc w:val="left"/>
      <w:lvlText w:val="(%2)"/>
      <w:numFmt w:val="lowerLetter"/>
      <w:start w:val="2"/>
    </w:lvl>
  </w:abstractNum>
  <w:abstractNum w:abstractNumId="297">
    <w:nsid w:val="2586D60E"/>
    <w:multiLevelType w:val="hybridMultilevel"/>
    <w:lvl w:ilvl="0">
      <w:lvlJc w:val="left"/>
      <w:lvlText w:val="%1."/>
      <w:numFmt w:val="decimal"/>
      <w:start w:val="11"/>
    </w:lvl>
    <w:lvl w:ilvl="1">
      <w:lvlJc w:val="left"/>
      <w:lvlText w:val="(%2)"/>
      <w:numFmt w:val="lowerLetter"/>
      <w:start w:val="1"/>
    </w:lvl>
  </w:abstractNum>
  <w:abstractNum w:abstractNumId="298">
    <w:nsid w:val="1F3DA4D5"/>
    <w:multiLevelType w:val="hybridMultilevel"/>
    <w:lvl w:ilvl="0">
      <w:lvlJc w:val="left"/>
      <w:lvlText w:val="%1."/>
      <w:numFmt w:val="decimal"/>
      <w:start w:val="12"/>
    </w:lvl>
    <w:lvl w:ilvl="1">
      <w:lvlJc w:val="left"/>
      <w:lvlText w:val="(%2)"/>
      <w:numFmt w:val="lowerLetter"/>
      <w:start w:val="1"/>
    </w:lvl>
  </w:abstractNum>
  <w:abstractNum w:abstractNumId="299">
    <w:nsid w:val="74C93698"/>
    <w:multiLevelType w:val="hybridMultilevel"/>
    <w:lvl w:ilvl="0">
      <w:lvlJc w:val="left"/>
      <w:lvlText w:val="(%1)"/>
      <w:numFmt w:val="lowerLetter"/>
      <w:start w:val="2"/>
    </w:lvl>
  </w:abstractNum>
  <w:abstractNum w:abstractNumId="300">
    <w:nsid w:val="48781401"/>
    <w:multiLevelType w:val="hybridMultilevel"/>
    <w:lvl w:ilvl="0">
      <w:lvlJc w:val="left"/>
      <w:lvlText w:val="%1."/>
      <w:numFmt w:val="decimal"/>
      <w:start w:val="13"/>
    </w:lvl>
  </w:abstractNum>
  <w:abstractNum w:abstractNumId="301">
    <w:nsid w:val="186928D6"/>
    <w:multiLevelType w:val="hybridMultilevel"/>
    <w:lvl w:ilvl="0">
      <w:lvlJc w:val="left"/>
      <w:lvlText w:val="%1."/>
      <w:numFmt w:val="decimal"/>
      <w:start w:val="14"/>
    </w:lvl>
    <w:lvl w:ilvl="1">
      <w:lvlJc w:val="left"/>
      <w:lvlText w:val="(%2)"/>
      <w:numFmt w:val="lowerLetter"/>
      <w:start w:val="1"/>
    </w:lvl>
  </w:abstractNum>
  <w:abstractNum w:abstractNumId="302">
    <w:nsid w:val="47195E5"/>
    <w:multiLevelType w:val="hybridMultilevel"/>
    <w:lvl w:ilvl="0">
      <w:lvlJc w:val="left"/>
      <w:lvlText w:val="(%1)"/>
      <w:numFmt w:val="lowerLetter"/>
      <w:start w:val="1"/>
    </w:lvl>
  </w:abstractNum>
  <w:abstractNum w:abstractNumId="303">
    <w:nsid w:val="3746A5F2"/>
    <w:multiLevelType w:val="hybridMultilevel"/>
    <w:lvl w:ilvl="0">
      <w:lvlJc w:val="left"/>
      <w:lvlText w:val="(%1)"/>
      <w:numFmt w:val="lowerLetter"/>
      <w:start w:val="7"/>
    </w:lvl>
    <w:lvl w:ilvl="1">
      <w:lvlJc w:val="left"/>
      <w:lvlText w:val="(%2)"/>
      <w:numFmt w:val="lowerRoman"/>
      <w:start w:val="1"/>
    </w:lvl>
  </w:abstractNum>
  <w:abstractNum w:abstractNumId="304">
    <w:nsid w:val="682DFE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05">
    <w:nsid w:val="606ED7F6"/>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06">
    <w:nsid w:val="2D9DF57D"/>
    <w:multiLevelType w:val="hybridMultilevel"/>
    <w:lvl w:ilvl="0">
      <w:lvlJc w:val="left"/>
      <w:lvlText w:val="(%1)"/>
      <w:numFmt w:val="decimal"/>
      <w:start w:val="4"/>
    </w:lvl>
    <w:lvl w:ilvl="1">
      <w:lvlJc w:val="left"/>
      <w:lvlText w:val="(%2)"/>
      <w:numFmt w:val="lowerLetter"/>
      <w:start w:val="13"/>
    </w:lvl>
    <w:lvl w:ilvl="2">
      <w:lvlJc w:val="left"/>
      <w:lvlText w:val="%3"/>
      <w:numFmt w:val="lowerRoman"/>
      <w:start w:val="1"/>
    </w:lvl>
  </w:abstractNum>
  <w:abstractNum w:abstractNumId="307">
    <w:nsid w:val="7FBD7A3E"/>
    <w:multiLevelType w:val="hybridMultilevel"/>
    <w:lvl w:ilvl="0">
      <w:lvlJc w:val="left"/>
      <w:lvlText w:val="(%1)"/>
      <w:numFmt w:val="lowerRoman"/>
      <w:start w:val="1"/>
    </w:lvl>
  </w:abstractNum>
  <w:abstractNum w:abstractNumId="308">
    <w:nsid w:val="490B7C5"/>
    <w:multiLevelType w:val="hybridMultilevel"/>
    <w:lvl w:ilvl="0">
      <w:lvlJc w:val="left"/>
      <w:lvlText w:val="(%1)"/>
      <w:numFmt w:val="lowerLetter"/>
      <w:start w:val="16"/>
    </w:lvl>
  </w:abstractNum>
  <w:abstractNum w:abstractNumId="309">
    <w:nsid w:val="4303A216"/>
    <w:multiLevelType w:val="hybridMultilevel"/>
    <w:lvl w:ilvl="0">
      <w:lvlJc w:val="left"/>
      <w:lvlText w:val="(%1)"/>
      <w:numFmt w:val="lowerLetter"/>
      <w:start w:val="25"/>
    </w:lvl>
  </w:abstractNum>
  <w:abstractNum w:abstractNumId="310">
    <w:nsid w:val="19B8A08E"/>
    <w:multiLevelType w:val="hybridMultilevel"/>
    <w:lvl w:ilvl="0">
      <w:lvlJc w:val="left"/>
      <w:lvlText w:val="(%1)"/>
      <w:numFmt w:val="lowerLetter"/>
      <w:start w:val="27"/>
    </w:lvl>
  </w:abstractNum>
  <w:abstractNum w:abstractNumId="311">
    <w:nsid w:val="54B59621"/>
    <w:multiLevelType w:val="hybridMultilevel"/>
    <w:lvl w:ilvl="0">
      <w:lvlJc w:val="left"/>
      <w:lvlText w:val="%1."/>
      <w:numFmt w:val="decimal"/>
      <w:start w:val="1"/>
    </w:lvl>
  </w:abstractNum>
  <w:abstractNum w:abstractNumId="312">
    <w:nsid w:val="5992A02E"/>
    <w:multiLevelType w:val="hybridMultilevel"/>
    <w:lvl w:ilvl="0">
      <w:lvlJc w:val="left"/>
      <w:lvlText w:val="%1."/>
      <w:numFmt w:val="decimal"/>
      <w:start w:val="1"/>
    </w:lvl>
    <w:lvl w:ilvl="1">
      <w:lvlJc w:val="left"/>
      <w:lvlText w:val="•"/>
      <w:numFmt w:val="bullet"/>
      <w:start w:val="1"/>
    </w:lvl>
  </w:abstractNum>
  <w:abstractNum w:abstractNumId="313">
    <w:nsid w:val="29EF532D"/>
    <w:multiLevelType w:val="hybridMultilevel"/>
    <w:lvl w:ilvl="0">
      <w:lvlJc w:val="left"/>
      <w:lvlText w:val="%1."/>
      <w:numFmt w:val="decimal"/>
      <w:start w:val="3"/>
    </w:lvl>
  </w:abstractNum>
  <w:abstractNum w:abstractNumId="314">
    <w:nsid w:val="71D601AF"/>
    <w:multiLevelType w:val="hybridMultilevel"/>
    <w:lvl w:ilvl="0">
      <w:lvlJc w:val="left"/>
      <w:lvlText w:val="%1."/>
      <w:numFmt w:val="lowerLetter"/>
      <w:start w:val="1"/>
    </w:lvl>
  </w:abstractNum>
  <w:abstractNum w:abstractNumId="315">
    <w:nsid w:val="52C77402"/>
    <w:multiLevelType w:val="hybridMultilevel"/>
    <w:lvl w:ilvl="0">
      <w:lvlJc w:val="left"/>
      <w:lvlText w:val="%1."/>
      <w:numFmt w:val="lowerLetter"/>
      <w:start w:val="6"/>
    </w:lvl>
  </w:abstractNum>
  <w:abstractNum w:abstractNumId="316">
    <w:nsid w:val="2BB5B1C6"/>
    <w:multiLevelType w:val="hybridMultilevel"/>
    <w:lvl w:ilvl="0">
      <w:lvlJc w:val="left"/>
      <w:lvlText w:val="%1."/>
      <w:numFmt w:val="decimal"/>
      <w:start w:val="4"/>
    </w:lvl>
  </w:abstractNum>
  <w:abstractNum w:abstractNumId="317">
    <w:nsid w:val="66BE6B9"/>
    <w:multiLevelType w:val="hybridMultilevel"/>
    <w:lvl w:ilvl="0">
      <w:lvlJc w:val="left"/>
      <w:lvlText w:val="%1."/>
      <w:numFmt w:val="decimal"/>
      <w:start w:val="5"/>
    </w:lvl>
  </w:abstractNum>
  <w:abstractNum w:abstractNumId="318">
    <w:nsid w:val="62234363"/>
    <w:multiLevelType w:val="hybridMultilevel"/>
    <w:lvl w:ilvl="0">
      <w:lvlJc w:val="left"/>
      <w:lvlText w:val="%1."/>
      <w:numFmt w:val="decimal"/>
      <w:start w:val="6"/>
    </w:lvl>
  </w:abstractNum>
  <w:abstractNum w:abstractNumId="319">
    <w:nsid w:val="66D385C9"/>
    <w:multiLevelType w:val="hybridMultilevel"/>
    <w:lvl w:ilvl="0">
      <w:lvlJc w:val="left"/>
      <w:lvlText w:val="%1."/>
      <w:numFmt w:val="decimal"/>
      <w:start w:val="7"/>
    </w:lvl>
  </w:abstractNum>
  <w:abstractNum w:abstractNumId="320">
    <w:nsid w:val="596F6D8A"/>
    <w:multiLevelType w:val="hybridMultilevel"/>
    <w:lvl w:ilvl="0">
      <w:lvlJc w:val="left"/>
      <w:lvlText w:val="%1."/>
      <w:numFmt w:val="decimal"/>
      <w:start w:val="8"/>
    </w:lvl>
  </w:abstractNum>
  <w:abstractNum w:abstractNumId="321">
    <w:nsid w:val="5749361F"/>
    <w:multiLevelType w:val="hybridMultilevel"/>
    <w:lvl w:ilvl="0">
      <w:lvlJc w:val="left"/>
      <w:lvlText w:val="%1."/>
      <w:numFmt w:val="decimal"/>
      <w:start w:val="9"/>
    </w:lvl>
  </w:abstractNum>
  <w:abstractNum w:abstractNumId="322">
    <w:nsid w:val="73BC6770"/>
    <w:multiLevelType w:val="hybridMultilevel"/>
    <w:lvl w:ilvl="0">
      <w:lvlJc w:val="left"/>
      <w:lvlText w:val="%1."/>
      <w:numFmt w:val="decimal"/>
      <w:start w:val="10"/>
    </w:lvl>
  </w:abstractNum>
  <w:abstractNum w:abstractNumId="323">
    <w:nsid w:val="280E6897"/>
    <w:multiLevelType w:val="hybridMultilevel"/>
    <w:lvl w:ilvl="0">
      <w:lvlJc w:val="left"/>
      <w:lvlText w:val="%1."/>
      <w:numFmt w:val="decimal"/>
      <w:start w:val="11"/>
    </w:lvl>
  </w:abstractNum>
  <w:abstractNum w:abstractNumId="324">
    <w:nsid w:val="605138DE"/>
    <w:multiLevelType w:val="hybridMultilevel"/>
    <w:lvl w:ilvl="0">
      <w:lvlJc w:val="left"/>
      <w:lvlText w:val="%1."/>
      <w:numFmt w:val="decimal"/>
      <w:start w:val="12"/>
    </w:lvl>
  </w:abstractNum>
  <w:abstractNum w:abstractNumId="325">
    <w:nsid w:val="2622AD0C"/>
    <w:multiLevelType w:val="hybridMultilevel"/>
    <w:lvl w:ilvl="0">
      <w:lvlJc w:val="left"/>
      <w:lvlText w:val="%1."/>
      <w:numFmt w:val="decimal"/>
      <w:start w:val="13"/>
    </w:lvl>
  </w:abstractNum>
  <w:abstractNum w:abstractNumId="326">
    <w:nsid w:val="67997556"/>
    <w:multiLevelType w:val="hybridMultilevel"/>
    <w:lvl w:ilvl="0">
      <w:lvlJc w:val="left"/>
      <w:lvlText w:val="%1."/>
      <w:numFmt w:val="decimal"/>
      <w:start w:val="14"/>
    </w:lvl>
    <w:lvl w:ilvl="1">
      <w:lvlJc w:val="left"/>
      <w:lvlText w:val="%2."/>
      <w:numFmt w:val="lowerLetter"/>
      <w:start w:val="1"/>
    </w:lvl>
  </w:abstractNum>
  <w:abstractNum w:abstractNumId="327">
    <w:nsid w:val="18333C89"/>
    <w:multiLevelType w:val="hybridMultilevel"/>
    <w:lvl w:ilvl="0">
      <w:lvlJc w:val="left"/>
      <w:lvlText w:val="%1."/>
      <w:numFmt w:val="lowerLetter"/>
      <w:start w:val="10"/>
    </w:lvl>
  </w:abstractNum>
  <w:abstractNum w:abstractNumId="328">
    <w:nsid w:val="4BA9831A"/>
    <w:multiLevelType w:val="hybridMultilevel"/>
    <w:lvl w:ilvl="0">
      <w:lvlJc w:val="left"/>
      <w:lvlText w:val="(%1)"/>
      <w:numFmt w:val="decimal"/>
      <w:start w:val="32"/>
    </w:lvl>
  </w:abstractNum>
  <w:abstractNum w:abstractNumId="329">
    <w:nsid w:val="6D71A2B"/>
    <w:multiLevelType w:val="hybridMultilevel"/>
    <w:lvl w:ilvl="0">
      <w:lvlJc w:val="left"/>
      <w:lvlText w:val="(%1)"/>
      <w:numFmt w:val="decimal"/>
      <w:start w:val="52"/>
    </w:lvl>
  </w:abstractNum>
  <w:abstractNum w:abstractNumId="330">
    <w:nsid w:val="CFC7321"/>
    <w:multiLevelType w:val="hybridMultilevel"/>
    <w:lvl w:ilvl="0">
      <w:lvlJc w:val="left"/>
      <w:lvlText w:val="(%1)"/>
      <w:numFmt w:val="decimal"/>
      <w:start w:val="56"/>
    </w:lvl>
  </w:abstractNum>
  <w:abstractNum w:abstractNumId="331">
    <w:nsid w:val="1421971B"/>
    <w:multiLevelType w:val="hybridMultilevel"/>
    <w:lvl w:ilvl="0">
      <w:lvlJc w:val="left"/>
      <w:lvlText w:val="%1."/>
      <w:numFmt w:val="decimal"/>
      <w:start w:val="1"/>
    </w:lvl>
  </w:abstractNum>
  <w:abstractNum w:abstractNumId="332">
    <w:nsid w:val="1F404301"/>
    <w:multiLevelType w:val="hybridMultilevel"/>
    <w:lvl w:ilvl="0">
      <w:lvlJc w:val="left"/>
      <w:lvlText w:val="%1."/>
      <w:numFmt w:val="decimal"/>
      <w:start w:val="5"/>
    </w:lvl>
  </w:abstractNum>
  <w:abstractNum w:abstractNumId="333">
    <w:nsid w:val="116E0907"/>
    <w:multiLevelType w:val="hybridMultilevel"/>
    <w:lvl w:ilvl="0">
      <w:lvlJc w:val="left"/>
      <w:lvlText w:val="%1."/>
      <w:numFmt w:val="upperLetter"/>
      <w:start w:val="1"/>
    </w:lvl>
  </w:abstractNum>
  <w:abstractNum w:abstractNumId="334">
    <w:nsid w:val="4B683D0D"/>
    <w:multiLevelType w:val="hybridMultilevel"/>
    <w:lvl w:ilvl="0">
      <w:lvlJc w:val="left"/>
      <w:lvlText w:val="%1."/>
      <w:numFmt w:val="decimal"/>
      <w:start w:val="1"/>
    </w:lvl>
    <w:lvl w:ilvl="1">
      <w:lvlJc w:val="left"/>
      <w:lvlText w:val="(%2)"/>
      <w:numFmt w:val="lowerLetter"/>
      <w:start w:val="1"/>
    </w:lvl>
  </w:abstractNum>
  <w:abstractNum w:abstractNumId="335">
    <w:nsid w:val="76E41D8"/>
    <w:multiLevelType w:val="hybridMultilevel"/>
    <w:lvl w:ilvl="0">
      <w:lvlJc w:val="left"/>
      <w:lvlText w:val="(%1)"/>
      <w:numFmt w:val="lowerLetter"/>
      <w:start w:val="2"/>
    </w:lvl>
  </w:abstractNum>
  <w:abstractNum w:abstractNumId="336">
    <w:nsid w:val="71DCE0FD"/>
    <w:multiLevelType w:val="hybridMultilevel"/>
    <w:lvl w:ilvl="0">
      <w:lvlJc w:val="left"/>
      <w:lvlText w:val="(%1)"/>
      <w:numFmt w:val="lowerRoman"/>
      <w:start w:val="1"/>
    </w:lvl>
  </w:abstractNum>
  <w:abstractNum w:abstractNumId="337">
    <w:nsid w:val="7906328B"/>
    <w:multiLevelType w:val="hybridMultilevel"/>
    <w:lvl w:ilvl="0">
      <w:lvlJc w:val="left"/>
      <w:lvlText w:val="(%1)"/>
      <w:numFmt w:val="lowerRoman"/>
      <w:start w:val="5"/>
    </w:lvl>
  </w:abstractNum>
  <w:abstractNum w:abstractNumId="338">
    <w:nsid w:val="72BBC16"/>
    <w:multiLevelType w:val="hybridMultilevel"/>
    <w:lvl w:ilvl="0">
      <w:lvlJc w:val="left"/>
      <w:lvlText w:val="(%1)"/>
      <w:numFmt w:val="lowerLetter"/>
      <w:start w:val="61"/>
    </w:lvl>
    <w:lvl w:ilvl="1">
      <w:lvlJc w:val="left"/>
      <w:lvlText w:val="(%2)"/>
      <w:numFmt w:val="lowerLetter"/>
      <w:start w:val="3"/>
    </w:lvl>
  </w:abstractNum>
  <w:abstractNum w:abstractNumId="339">
    <w:nsid w:val="766D98C2"/>
    <w:multiLevelType w:val="hybridMultilevel"/>
    <w:lvl w:ilvl="0">
      <w:lvlJc w:val="left"/>
      <w:lvlText w:val="%1"/>
      <w:numFmt w:val="decimal"/>
      <w:start w:val="1"/>
    </w:lvl>
    <w:lvl w:ilvl="1">
      <w:lvlJc w:val="left"/>
      <w:lvlText w:val="(%2)"/>
      <w:numFmt w:val="lowerLetter"/>
      <w:start w:val="6"/>
    </w:lvl>
  </w:abstractNum>
  <w:abstractNum w:abstractNumId="340">
    <w:nsid w:val="3C09D4A1"/>
    <w:multiLevelType w:val="hybridMultilevel"/>
    <w:lvl w:ilvl="0">
      <w:lvlJc w:val="left"/>
      <w:lvlText w:val="%1."/>
      <w:numFmt w:val="decimal"/>
      <w:start w:val="2"/>
    </w:lvl>
    <w:lvl w:ilvl="1">
      <w:lvlJc w:val="left"/>
      <w:lvlText w:val="%2"/>
      <w:numFmt w:val="lowerLetter"/>
      <w:start w:val="1"/>
    </w:lvl>
  </w:abstractNum>
  <w:abstractNum w:abstractNumId="341">
    <w:nsid w:val="20E45CA4"/>
    <w:multiLevelType w:val="hybridMultilevel"/>
    <w:lvl w:ilvl="0">
      <w:lvlJc w:val="left"/>
      <w:lvlText w:val="%1."/>
      <w:numFmt w:val="decimal"/>
      <w:start w:val="3"/>
    </w:lvl>
    <w:lvl w:ilvl="1">
      <w:lvlJc w:val="left"/>
      <w:lvlText w:val="(%2)"/>
      <w:numFmt w:val="lowerLetter"/>
      <w:start w:val="1"/>
    </w:lvl>
  </w:abstractNum>
  <w:abstractNum w:abstractNumId="342">
    <w:nsid w:val="4B232EE3"/>
    <w:multiLevelType w:val="hybridMultilevel"/>
    <w:lvl w:ilvl="0">
      <w:lvlJc w:val="left"/>
      <w:lvlText w:val="%1"/>
      <w:numFmt w:val="decimal"/>
      <w:start w:val="1"/>
    </w:lvl>
    <w:lvl w:ilvl="1">
      <w:lvlJc w:val="left"/>
      <w:lvlText w:val="(%2)"/>
      <w:numFmt w:val="lowerLetter"/>
      <w:start w:val="2"/>
    </w:lvl>
  </w:abstractNum>
  <w:abstractNum w:abstractNumId="343">
    <w:nsid w:val="159C74CF"/>
    <w:multiLevelType w:val="hybridMultilevel"/>
    <w:lvl w:ilvl="0">
      <w:lvlJc w:val="left"/>
      <w:lvlText w:val="%1."/>
      <w:numFmt w:val="decimal"/>
      <w:start w:val="4"/>
    </w:lvl>
    <w:lvl w:ilvl="1">
      <w:lvlJc w:val="left"/>
      <w:lvlText w:val="%2"/>
      <w:numFmt w:val="lowerLetter"/>
      <w:start w:val="1"/>
    </w:lvl>
  </w:abstractNum>
  <w:abstractNum w:abstractNumId="344">
    <w:nsid w:val="4AD3AFD2"/>
    <w:multiLevelType w:val="hybridMultilevel"/>
    <w:lvl w:ilvl="0">
      <w:lvlJc w:val="left"/>
      <w:lvlText w:val="%1."/>
      <w:numFmt w:val="decimal"/>
      <w:start w:val="6"/>
    </w:lvl>
    <w:lvl w:ilvl="1">
      <w:lvlJc w:val="left"/>
      <w:lvlText w:val="(%2)"/>
      <w:numFmt w:val="lowerLetter"/>
      <w:start w:val="1"/>
    </w:lvl>
  </w:abstractNum>
  <w:abstractNum w:abstractNumId="345">
    <w:nsid w:val="3CF93092"/>
    <w:multiLevelType w:val="hybridMultilevel"/>
    <w:lvl w:ilvl="0">
      <w:lvlJc w:val="left"/>
      <w:lvlText w:val="%1"/>
      <w:numFmt w:val="decimal"/>
      <w:start w:val="1"/>
    </w:lvl>
    <w:lvl w:ilvl="1">
      <w:lvlJc w:val="left"/>
      <w:lvlText w:val="(%2)"/>
      <w:numFmt w:val="lowerLetter"/>
      <w:start w:val="3"/>
    </w:lvl>
  </w:abstractNum>
  <w:abstractNum w:abstractNumId="346">
    <w:nsid w:val="6863E8D2"/>
    <w:multiLevelType w:val="hybridMultilevel"/>
    <w:lvl w:ilvl="0">
      <w:lvlJc w:val="left"/>
      <w:lvlText w:val="%1."/>
      <w:numFmt w:val="decimal"/>
      <w:start w:val="8"/>
    </w:lvl>
    <w:lvl w:ilvl="1">
      <w:lvlJc w:val="left"/>
      <w:lvlText w:val="%2"/>
      <w:numFmt w:val="lowerLetter"/>
      <w:start w:val="1"/>
    </w:lvl>
  </w:abstractNum>
  <w:abstractNum w:abstractNumId="347">
    <w:nsid w:val="76896198"/>
    <w:multiLevelType w:val="hybridMultilevel"/>
    <w:lvl w:ilvl="0">
      <w:lvlJc w:val="left"/>
      <w:lvlText w:val="(%1)"/>
      <w:numFmt w:val="lowerLetter"/>
      <w:start w:val="1"/>
    </w:lvl>
  </w:abstractNum>
  <w:abstractNum w:abstractNumId="348">
    <w:nsid w:val="4365174B"/>
    <w:multiLevelType w:val="hybridMultilevel"/>
    <w:lvl w:ilvl="0">
      <w:lvlJc w:val="left"/>
      <w:lvlText w:val="(%1)"/>
      <w:numFmt w:val="lowerLetter"/>
      <w:start w:val="4"/>
    </w:lvl>
  </w:abstractNum>
  <w:abstractNum w:abstractNumId="349">
    <w:nsid w:val="4A872C35"/>
    <w:multiLevelType w:val="hybridMultilevel"/>
    <w:lvl w:ilvl="0">
      <w:lvlJc w:val="left"/>
      <w:lvlText w:val="(%1)"/>
      <w:numFmt w:val="lowerLetter"/>
      <w:start w:val="2"/>
    </w:lvl>
  </w:abstractNum>
  <w:abstractNum w:abstractNumId="350">
    <w:nsid w:val="5D5CE761"/>
    <w:multiLevelType w:val="hybridMultilevel"/>
    <w:lvl w:ilvl="0">
      <w:lvlJc w:val="left"/>
      <w:lvlText w:val="%1."/>
      <w:numFmt w:val="upperLetter"/>
      <w:start w:val="1"/>
    </w:lvl>
  </w:abstractNum>
  <w:abstractNum w:abstractNumId="351">
    <w:nsid w:val="1CD484D5"/>
    <w:multiLevelType w:val="hybridMultilevel"/>
    <w:lvl w:ilvl="0">
      <w:lvlJc w:val="left"/>
      <w:lvlText w:val="%1."/>
      <w:numFmt w:val="decimal"/>
      <w:start w:val="1"/>
    </w:lvl>
  </w:abstractNum>
  <w:abstractNum w:abstractNumId="352">
    <w:nsid w:val="21D0625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53">
    <w:nsid w:val="51194ED1"/>
    <w:multiLevelType w:val="hybridMultilevel"/>
    <w:lvl w:ilvl="0">
      <w:lvlJc w:val="left"/>
      <w:lvlText w:val="(%1)"/>
      <w:numFmt w:val="lowerRoman"/>
      <w:start w:val="2"/>
    </w:lvl>
  </w:abstractNum>
  <w:abstractNum w:abstractNumId="354">
    <w:nsid w:val="44E2ED6C"/>
    <w:multiLevelType w:val="hybridMultilevel"/>
    <w:lvl w:ilvl="0">
      <w:lvlJc w:val="left"/>
      <w:lvlText w:val="(%1)"/>
      <w:numFmt w:val="lowerRoman"/>
      <w:start w:val="3"/>
    </w:lvl>
  </w:abstractNum>
  <w:abstractNum w:abstractNumId="355">
    <w:nsid w:val="2219B33"/>
    <w:multiLevelType w:val="hybridMultilevel"/>
    <w:lvl w:ilvl="0">
      <w:lvlJc w:val="left"/>
      <w:lvlText w:val="(%1)"/>
      <w:numFmt w:val="lowerLetter"/>
      <w:start w:val="2"/>
    </w:lvl>
    <w:lvl w:ilvl="1">
      <w:lvlJc w:val="left"/>
      <w:lvlText w:val="(%2)"/>
      <w:numFmt w:val="lowerLetter"/>
      <w:start w:val="9"/>
    </w:lvl>
  </w:abstractNum>
  <w:abstractNum w:abstractNumId="356">
    <w:nsid w:val="773BFBDD"/>
    <w:multiLevelType w:val="hybridMultilevel"/>
    <w:lvl w:ilvl="0">
      <w:lvlJc w:val="left"/>
      <w:lvlText w:val="(%1)"/>
      <w:numFmt w:val="lowerRoman"/>
      <w:start w:val="2"/>
    </w:lvl>
  </w:abstractNum>
  <w:abstractNum w:abstractNumId="357">
    <w:nsid w:val="2C7C62C2"/>
    <w:multiLevelType w:val="hybridMultilevel"/>
    <w:lvl w:ilvl="0">
      <w:lvlJc w:val="left"/>
      <w:lvlText w:val="%1"/>
      <w:numFmt w:val="lowerRoman"/>
      <w:start w:val="1"/>
    </w:lvl>
    <w:lvl w:ilvl="1">
      <w:lvlJc w:val="left"/>
      <w:lvlText w:val="%2."/>
      <w:numFmt w:val="decimal"/>
      <w:start w:val="4"/>
    </w:lvl>
  </w:abstractNum>
  <w:abstractNum w:abstractNumId="358">
    <w:nsid w:val="1A54D7BC"/>
    <w:multiLevelType w:val="hybridMultilevel"/>
    <w:lvl w:ilvl="0">
      <w:lvlJc w:val="left"/>
      <w:lvlText w:val="(%1)"/>
      <w:numFmt w:val="lowerRoman"/>
      <w:start w:val="1"/>
    </w:lvl>
    <w:lvl w:ilvl="1">
      <w:lvlJc w:val="left"/>
      <w:lvlText w:val="%2"/>
      <w:numFmt w:val="decimal"/>
      <w:start w:val="1"/>
    </w:lvl>
  </w:abstractNum>
  <w:abstractNum w:abstractNumId="359">
    <w:nsid w:val="42E57EF7"/>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60">
    <w:nsid w:val="33537CED"/>
    <w:multiLevelType w:val="hybridMultilevel"/>
    <w:lvl w:ilvl="0">
      <w:lvlJc w:val="left"/>
      <w:lvlText w:val="%1."/>
      <w:numFmt w:val="decimal"/>
      <w:start w:val="7"/>
    </w:lvl>
    <w:lvl w:ilvl="1">
      <w:lvlJc w:val="left"/>
      <w:lvlText w:val="(%2)"/>
      <w:numFmt w:val="lowerLetter"/>
      <w:start w:val="1"/>
    </w:lvl>
  </w:abstractNum>
  <w:abstractNum w:abstractNumId="361">
    <w:nsid w:val="27514ADE"/>
    <w:multiLevelType w:val="hybridMultilevel"/>
    <w:lvl w:ilvl="0">
      <w:lvlJc w:val="left"/>
      <w:lvlText w:val="(%1)"/>
      <w:numFmt w:val="lowerLetter"/>
      <w:start w:val="2"/>
    </w:lvl>
  </w:abstractNum>
  <w:abstractNum w:abstractNumId="362">
    <w:nsid w:val="57071613"/>
    <w:multiLevelType w:val="hybridMultilevel"/>
    <w:lvl w:ilvl="0">
      <w:lvlJc w:val="left"/>
      <w:lvlText w:val="(%1)"/>
      <w:numFmt w:val="lowerLetter"/>
      <w:start w:val="5"/>
    </w:lvl>
  </w:abstractNum>
  <w:abstractNum w:abstractNumId="363">
    <w:nsid w:val="5293BFEF"/>
    <w:multiLevelType w:val="hybridMultilevel"/>
    <w:lvl w:ilvl="0">
      <w:lvlJc w:val="left"/>
      <w:lvlText w:val="(%1)"/>
      <w:numFmt w:val="lowerLetter"/>
      <w:start w:val="1"/>
    </w:lvl>
  </w:abstractNum>
  <w:abstractNum w:abstractNumId="364">
    <w:nsid w:val="38BF53E5"/>
    <w:multiLevelType w:val="hybridMultilevel"/>
    <w:lvl w:ilvl="0">
      <w:lvlJc w:val="left"/>
      <w:lvlText w:val="(%1)"/>
      <w:numFmt w:val="lowerLetter"/>
      <w:start w:val="7"/>
    </w:lvl>
  </w:abstractNum>
  <w:abstractNum w:abstractNumId="365">
    <w:nsid w:val="226F5320"/>
    <w:multiLevelType w:val="hybridMultilevel"/>
    <w:lvl w:ilvl="0">
      <w:lvlJc w:val="left"/>
      <w:lvlText w:val="%1."/>
      <w:numFmt w:val="decimal"/>
      <w:start w:val="1"/>
    </w:lvl>
  </w:abstractNum>
  <w:abstractNum w:abstractNumId="366">
    <w:nsid w:val="5A0201C7"/>
    <w:multiLevelType w:val="hybridMultilevel"/>
    <w:lvl w:ilvl="0">
      <w:lvlJc w:val="left"/>
      <w:lvlText w:val="%1."/>
      <w:numFmt w:val="decimal"/>
      <w:start w:val="3"/>
    </w:lvl>
  </w:abstractNum>
  <w:abstractNum w:abstractNumId="367">
    <w:nsid w:val="2A9C34E2"/>
    <w:multiLevelType w:val="hybridMultilevel"/>
    <w:lvl w:ilvl="0">
      <w:lvlJc w:val="left"/>
      <w:lvlText w:val="%1."/>
      <w:numFmt w:val="decimal"/>
      <w:start w:val="8"/>
    </w:lvl>
  </w:abstractNum>
  <w:abstractNum w:abstractNumId="368">
    <w:nsid w:val="1B7585AB"/>
    <w:multiLevelType w:val="hybridMultilevel"/>
    <w:lvl w:ilvl="0">
      <w:lvlJc w:val="left"/>
      <w:lvlText w:val="%1."/>
      <w:numFmt w:val="decimal"/>
      <w:start w:val="10"/>
    </w:lvl>
    <w:lvl w:ilvl="1">
      <w:lvlJc w:val="left"/>
      <w:lvlText w:val="%2:"/>
      <w:numFmt w:val="upperLetter"/>
      <w:start w:val="1"/>
    </w:lvl>
  </w:abstractNum>
  <w:abstractNum w:abstractNumId="369">
    <w:nsid w:val="612DBDDD"/>
    <w:multiLevelType w:val="hybridMultilevel"/>
    <w:lvl w:ilvl="0">
      <w:lvlJc w:val="left"/>
      <w:lvlText w:val="%1"/>
      <w:numFmt w:val="decimal"/>
      <w:start w:val="1"/>
    </w:lvl>
    <w:lvl w:ilvl="1">
      <w:lvlJc w:val="left"/>
      <w:lvlText w:val="%2:"/>
      <w:numFmt w:val="upperLetter"/>
      <w:start w:val="1"/>
    </w:lvl>
  </w:abstractNum>
  <w:abstractNum w:abstractNumId="370">
    <w:nsid w:val="2109CDA4"/>
    <w:multiLevelType w:val="hybridMultilevel"/>
    <w:lvl w:ilvl="0">
      <w:lvlJc w:val="left"/>
      <w:lvlText w:val="%1."/>
      <w:numFmt w:val="decimal"/>
      <w:start w:val="17"/>
    </w:lvl>
    <w:lvl w:ilvl="1">
      <w:lvlJc w:val="left"/>
      <w:lvlText w:val="%2:"/>
      <w:numFmt w:val="upperLetter"/>
      <w:start w:val="1"/>
    </w:lvl>
  </w:abstractNum>
  <w:abstractNum w:abstractNumId="371">
    <w:nsid w:val="577F5A4D"/>
    <w:multiLevelType w:val="hybridMultilevel"/>
    <w:lvl w:ilvl="0">
      <w:lvlJc w:val="left"/>
      <w:lvlText w:val="%1."/>
      <w:numFmt w:val="decimal"/>
      <w:start w:val="22"/>
    </w:lvl>
    <w:lvl w:ilvl="1">
      <w:lvlJc w:val="left"/>
      <w:lvlText w:val="%2:"/>
      <w:numFmt w:val="upperLetter"/>
      <w:start w:val="1"/>
    </w:lvl>
  </w:abstractNum>
  <w:abstractNum w:abstractNumId="372">
    <w:nsid w:val="2121A81"/>
    <w:multiLevelType w:val="hybridMultilevel"/>
    <w:lvl w:ilvl="0">
      <w:lvlJc w:val="left"/>
      <w:lvlText w:val="%1."/>
      <w:numFmt w:val="decimal"/>
      <w:start w:val="27"/>
    </w:lvl>
    <w:lvl w:ilvl="1">
      <w:lvlJc w:val="left"/>
      <w:lvlText w:val="%2:"/>
      <w:numFmt w:val="upperLetter"/>
      <w:start w:val="1"/>
    </w:lvl>
  </w:abstractNum>
  <w:abstractNum w:abstractNumId="373">
    <w:nsid w:val="6C2CFC88"/>
    <w:multiLevelType w:val="hybridMultilevel"/>
    <w:lvl w:ilvl="0">
      <w:lvlJc w:val="left"/>
      <w:lvlText w:val="%1."/>
      <w:numFmt w:val="decimal"/>
      <w:start w:val="29"/>
    </w:lvl>
    <w:lvl w:ilvl="1">
      <w:lvlJc w:val="left"/>
      <w:lvlText w:val="%2:"/>
      <w:numFmt w:val="upperLetter"/>
      <w:start w:val="1"/>
    </w:lvl>
  </w:abstractNum>
  <w:abstractNum w:abstractNumId="374">
    <w:nsid w:val="6D1BCF1C"/>
    <w:multiLevelType w:val="hybridMultilevel"/>
    <w:lvl w:ilvl="0">
      <w:lvlJc w:val="left"/>
      <w:lvlText w:val="%1."/>
      <w:numFmt w:val="decimal"/>
      <w:start w:val="32"/>
    </w:lvl>
    <w:lvl w:ilvl="1">
      <w:lvlJc w:val="left"/>
      <w:lvlText w:val="%2:"/>
      <w:numFmt w:val="upperLetter"/>
      <w:start w:val="1"/>
    </w:lvl>
  </w:abstractNum>
  <w:abstractNum w:abstractNumId="375">
    <w:nsid w:val="4CE5CA53"/>
    <w:multiLevelType w:val="hybridMultilevel"/>
    <w:lvl w:ilvl="0">
      <w:lvlJc w:val="left"/>
      <w:lvlText w:val="%1."/>
      <w:numFmt w:val="decimal"/>
      <w:start w:val="1"/>
    </w:lvl>
    <w:lvl w:ilvl="1">
      <w:lvlJc w:val="left"/>
      <w:lvlText w:val="(%2)"/>
      <w:numFmt w:val="lowerLetter"/>
      <w:start w:val="1"/>
    </w:lvl>
  </w:abstractNum>
  <w:abstractNum w:abstractNumId="376">
    <w:nsid w:val="29262D1A"/>
    <w:multiLevelType w:val="hybridMultilevel"/>
    <w:lvl w:ilvl="0">
      <w:lvlJc w:val="left"/>
      <w:lvlText w:val="%1."/>
      <w:numFmt w:val="decimal"/>
      <w:start w:val="1"/>
    </w:lvl>
    <w:lvl w:ilvl="1">
      <w:lvlJc w:val="left"/>
      <w:lvlText w:val="(%2)"/>
      <w:numFmt w:val="lowerLetter"/>
      <w:start w:val="1"/>
    </w:lvl>
  </w:abstractNum>
  <w:abstractNum w:abstractNumId="377">
    <w:nsid w:val="557FB7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9" Type="http://schemas.openxmlformats.org/officeDocument/2006/relationships/image" Target="media/image346.png"/><Relationship Id="rId370"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90"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407" Type="http://schemas.openxmlformats.org/officeDocument/2006/relationships/image" Target="media/image364.png"/><Relationship Id="rId408" Type="http://schemas.openxmlformats.org/officeDocument/2006/relationships/image" Target="media/image365.png"/><Relationship Id="rId409" Type="http://schemas.openxmlformats.org/officeDocument/2006/relationships/image" Target="media/image366.png"/><Relationship Id="rId410" Type="http://schemas.openxmlformats.org/officeDocument/2006/relationships/image" Target="media/image367.png"/><Relationship Id="rId411" Type="http://schemas.openxmlformats.org/officeDocument/2006/relationships/image" Target="media/image368.png"/><Relationship Id="rId412" Type="http://schemas.openxmlformats.org/officeDocument/2006/relationships/image" Target="media/image369.png"/><Relationship Id="rId413" Type="http://schemas.openxmlformats.org/officeDocument/2006/relationships/image" Target="media/image370.png"/><Relationship Id="rId414" Type="http://schemas.openxmlformats.org/officeDocument/2006/relationships/image" Target="media/image371.png"/><Relationship Id="rId415" Type="http://schemas.openxmlformats.org/officeDocument/2006/relationships/image" Target="media/image372.png"/><Relationship Id="rId416" Type="http://schemas.openxmlformats.org/officeDocument/2006/relationships/image" Target="media/image373.png"/><Relationship Id="rId417" Type="http://schemas.openxmlformats.org/officeDocument/2006/relationships/image" Target="media/image374.png"/><Relationship Id="rId418" Type="http://schemas.openxmlformats.org/officeDocument/2006/relationships/image" Target="media/image375.png"/><Relationship Id="rId419" Type="http://schemas.openxmlformats.org/officeDocument/2006/relationships/image" Target="media/image376.png"/><Relationship Id="rId420" Type="http://schemas.openxmlformats.org/officeDocument/2006/relationships/image" Target="media/image377.png"/><Relationship Id="rId421" Type="http://schemas.openxmlformats.org/officeDocument/2006/relationships/image" Target="media/image378.png"/><Relationship Id="rId422" Type="http://schemas.openxmlformats.org/officeDocument/2006/relationships/image" Target="media/image379.png"/><Relationship Id="rId423" Type="http://schemas.openxmlformats.org/officeDocument/2006/relationships/image" Target="media/image380.png"/><Relationship Id="rId424" Type="http://schemas.openxmlformats.org/officeDocument/2006/relationships/image" Target="media/image381.png"/><Relationship Id="rId425" Type="http://schemas.openxmlformats.org/officeDocument/2006/relationships/image" Target="media/image382.png"/><Relationship Id="rId426" Type="http://schemas.openxmlformats.org/officeDocument/2006/relationships/image" Target="media/image383.png"/><Relationship Id="rId427" Type="http://schemas.openxmlformats.org/officeDocument/2006/relationships/image" Target="media/image384.png"/><Relationship Id="rId428" Type="http://schemas.openxmlformats.org/officeDocument/2006/relationships/image" Target="media/image385.png"/><Relationship Id="rId429" Type="http://schemas.openxmlformats.org/officeDocument/2006/relationships/image" Target="media/image386.png"/><Relationship Id="rId430" Type="http://schemas.openxmlformats.org/officeDocument/2006/relationships/image" Target="media/image387.png"/><Relationship Id="rId431" Type="http://schemas.openxmlformats.org/officeDocument/2006/relationships/image" Target="media/image388.png"/><Relationship Id="rId432" Type="http://schemas.openxmlformats.org/officeDocument/2006/relationships/image" Target="media/image389.png"/><Relationship Id="rId433" Type="http://schemas.openxmlformats.org/officeDocument/2006/relationships/image" Target="media/image390.png"/><Relationship Id="rId434"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7" Type="http://schemas.openxmlformats.org/officeDocument/2006/relationships/image" Target="media/image394.png"/><Relationship Id="rId438" Type="http://schemas.openxmlformats.org/officeDocument/2006/relationships/image" Target="media/image395.png"/><Relationship Id="rId439" Type="http://schemas.openxmlformats.org/officeDocument/2006/relationships/image" Target="media/image396.png"/><Relationship Id="rId440"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3" Type="http://schemas.openxmlformats.org/officeDocument/2006/relationships/image" Target="media/image400.png"/><Relationship Id="rId444" Type="http://schemas.openxmlformats.org/officeDocument/2006/relationships/image" Target="media/image401.png"/><Relationship Id="rId445" Type="http://schemas.openxmlformats.org/officeDocument/2006/relationships/image" Target="media/image402.png"/><Relationship Id="rId446" Type="http://schemas.openxmlformats.org/officeDocument/2006/relationships/image" Target="media/image403.png"/><Relationship Id="rId447" Type="http://schemas.openxmlformats.org/officeDocument/2006/relationships/image" Target="media/image404.png"/><Relationship Id="rId448" Type="http://schemas.openxmlformats.org/officeDocument/2006/relationships/image" Target="media/image405.png"/><Relationship Id="rId449" Type="http://schemas.openxmlformats.org/officeDocument/2006/relationships/image" Target="media/image406.png"/><Relationship Id="rId450" Type="http://schemas.openxmlformats.org/officeDocument/2006/relationships/image" Target="media/image407.png"/><Relationship Id="rId451" Type="http://schemas.openxmlformats.org/officeDocument/2006/relationships/image" Target="media/image408.png"/><Relationship Id="rId452" Type="http://schemas.openxmlformats.org/officeDocument/2006/relationships/image" Target="media/image409.png"/><Relationship Id="rId453" Type="http://schemas.openxmlformats.org/officeDocument/2006/relationships/image" Target="media/image410.png"/><Relationship Id="rId454" Type="http://schemas.openxmlformats.org/officeDocument/2006/relationships/image" Target="media/image411.png"/><Relationship Id="rId455" Type="http://schemas.openxmlformats.org/officeDocument/2006/relationships/image" Target="media/image412.png"/><Relationship Id="rId456" Type="http://schemas.openxmlformats.org/officeDocument/2006/relationships/image" Target="media/image413.png"/><Relationship Id="rId457" Type="http://schemas.openxmlformats.org/officeDocument/2006/relationships/image" Target="media/image414.png"/><Relationship Id="rId458" Type="http://schemas.openxmlformats.org/officeDocument/2006/relationships/image" Target="media/image415.png"/><Relationship Id="rId459" Type="http://schemas.openxmlformats.org/officeDocument/2006/relationships/image" Target="media/image416.png"/><Relationship Id="rId460" Type="http://schemas.openxmlformats.org/officeDocument/2006/relationships/image" Target="media/image417.png"/><Relationship Id="rId461" Type="http://schemas.openxmlformats.org/officeDocument/2006/relationships/image" Target="media/image418.png"/><Relationship Id="rId462" Type="http://schemas.openxmlformats.org/officeDocument/2006/relationships/image" Target="media/image419.png"/><Relationship Id="rId463" Type="http://schemas.openxmlformats.org/officeDocument/2006/relationships/image" Target="media/image420.png"/><Relationship Id="rId464" Type="http://schemas.openxmlformats.org/officeDocument/2006/relationships/image" Target="media/image421.png"/><Relationship Id="rId465" Type="http://schemas.openxmlformats.org/officeDocument/2006/relationships/image" Target="media/image422.png"/><Relationship Id="rId466" Type="http://schemas.openxmlformats.org/officeDocument/2006/relationships/image" Target="media/image423.png"/><Relationship Id="rId467" Type="http://schemas.openxmlformats.org/officeDocument/2006/relationships/image" Target="media/image424.png"/><Relationship Id="rId468" Type="http://schemas.openxmlformats.org/officeDocument/2006/relationships/image" Target="media/image425.png"/><Relationship Id="rId469" Type="http://schemas.openxmlformats.org/officeDocument/2006/relationships/image" Target="media/image426.png"/><Relationship Id="rId470" Type="http://schemas.openxmlformats.org/officeDocument/2006/relationships/image" Target="media/image427.png"/><Relationship Id="rId471" Type="http://schemas.openxmlformats.org/officeDocument/2006/relationships/image" Target="media/image428.png"/><Relationship Id="rId472" Type="http://schemas.openxmlformats.org/officeDocument/2006/relationships/image" Target="media/image429.png"/><Relationship Id="rId473" Type="http://schemas.openxmlformats.org/officeDocument/2006/relationships/image" Target="media/image430.png"/><Relationship Id="rId474" Type="http://schemas.openxmlformats.org/officeDocument/2006/relationships/image" Target="media/image431.png"/><Relationship Id="rId475" Type="http://schemas.openxmlformats.org/officeDocument/2006/relationships/image" Target="media/image432.png"/><Relationship Id="rId476" Type="http://schemas.openxmlformats.org/officeDocument/2006/relationships/image" Target="media/image433.png"/><Relationship Id="rId477" Type="http://schemas.openxmlformats.org/officeDocument/2006/relationships/image" Target="media/image434.png"/><Relationship Id="rId478" Type="http://schemas.openxmlformats.org/officeDocument/2006/relationships/image" Target="media/image435.png"/><Relationship Id="rId479" Type="http://schemas.openxmlformats.org/officeDocument/2006/relationships/image" Target="media/image436.png"/><Relationship Id="rId480" Type="http://schemas.openxmlformats.org/officeDocument/2006/relationships/image" Target="media/image437.png"/><Relationship Id="rId481" Type="http://schemas.openxmlformats.org/officeDocument/2006/relationships/image" Target="media/image438.png"/><Relationship Id="rId482" Type="http://schemas.openxmlformats.org/officeDocument/2006/relationships/image" Target="media/image439.png"/><Relationship Id="rId483" Type="http://schemas.openxmlformats.org/officeDocument/2006/relationships/image" Target="media/image440.png"/><Relationship Id="rId484" Type="http://schemas.openxmlformats.org/officeDocument/2006/relationships/image" Target="media/image441.png"/><Relationship Id="rId485" Type="http://schemas.openxmlformats.org/officeDocument/2006/relationships/image" Target="media/image442.png"/><Relationship Id="rId486" Type="http://schemas.openxmlformats.org/officeDocument/2006/relationships/image" Target="media/image443.png"/><Relationship Id="rId487" Type="http://schemas.openxmlformats.org/officeDocument/2006/relationships/image" Target="media/image444.png"/><Relationship Id="rId488" Type="http://schemas.openxmlformats.org/officeDocument/2006/relationships/image" Target="media/image445.png"/><Relationship Id="rId489" Type="http://schemas.openxmlformats.org/officeDocument/2006/relationships/image" Target="media/image446.png"/><Relationship Id="rId490" Type="http://schemas.openxmlformats.org/officeDocument/2006/relationships/image" Target="media/image447.png"/><Relationship Id="rId491" Type="http://schemas.openxmlformats.org/officeDocument/2006/relationships/image" Target="media/image448.png"/><Relationship Id="rId492" Type="http://schemas.openxmlformats.org/officeDocument/2006/relationships/image" Target="media/image449.png"/><Relationship Id="rId493" Type="http://schemas.openxmlformats.org/officeDocument/2006/relationships/image" Target="media/image450.png"/><Relationship Id="rId494" Type="http://schemas.openxmlformats.org/officeDocument/2006/relationships/image" Target="media/image451.png"/><Relationship Id="rId495" Type="http://schemas.openxmlformats.org/officeDocument/2006/relationships/image" Target="media/image452.png"/><Relationship Id="rId496" Type="http://schemas.openxmlformats.org/officeDocument/2006/relationships/image" Target="media/image453.png"/><Relationship Id="rId497" Type="http://schemas.openxmlformats.org/officeDocument/2006/relationships/image" Target="media/image454.png"/><Relationship Id="rId498" Type="http://schemas.openxmlformats.org/officeDocument/2006/relationships/image" Target="media/image455.png"/><Relationship Id="rId499" Type="http://schemas.openxmlformats.org/officeDocument/2006/relationships/image" Target="media/image456.png"/><Relationship Id="rId500" Type="http://schemas.openxmlformats.org/officeDocument/2006/relationships/image" Target="media/image457.png"/><Relationship Id="rId501" Type="http://schemas.openxmlformats.org/officeDocument/2006/relationships/image" Target="media/image458.png"/><Relationship Id="rId502" Type="http://schemas.openxmlformats.org/officeDocument/2006/relationships/image" Target="media/image459.png"/><Relationship Id="rId503" Type="http://schemas.openxmlformats.org/officeDocument/2006/relationships/image" Target="media/image460.png"/><Relationship Id="rId504" Type="http://schemas.openxmlformats.org/officeDocument/2006/relationships/image" Target="media/image461.png"/><Relationship Id="rId505" Type="http://schemas.openxmlformats.org/officeDocument/2006/relationships/image" Target="media/image462.png"/><Relationship Id="rId506" Type="http://schemas.openxmlformats.org/officeDocument/2006/relationships/image" Target="media/image463.png"/><Relationship Id="rId507" Type="http://schemas.openxmlformats.org/officeDocument/2006/relationships/image" Target="media/image464.png"/><Relationship Id="rId508" Type="http://schemas.openxmlformats.org/officeDocument/2006/relationships/image" Target="media/image465.png"/><Relationship Id="rId509" Type="http://schemas.openxmlformats.org/officeDocument/2006/relationships/image" Target="media/image466.png"/><Relationship Id="rId510" Type="http://schemas.openxmlformats.org/officeDocument/2006/relationships/image" Target="media/image467.png"/><Relationship Id="rId511" Type="http://schemas.openxmlformats.org/officeDocument/2006/relationships/image" Target="media/image468.png"/><Relationship Id="rId512" Type="http://schemas.openxmlformats.org/officeDocument/2006/relationships/image" Target="media/image469.png"/><Relationship Id="rId513" Type="http://schemas.openxmlformats.org/officeDocument/2006/relationships/image" Target="media/image470.png"/><Relationship Id="rId514" Type="http://schemas.openxmlformats.org/officeDocument/2006/relationships/image" Target="media/image471.png"/><Relationship Id="rId515" Type="http://schemas.openxmlformats.org/officeDocument/2006/relationships/image" Target="media/image472.png"/><Relationship Id="rId516" Type="http://schemas.openxmlformats.org/officeDocument/2006/relationships/image" Target="media/image473.png"/><Relationship Id="rId517" Type="http://schemas.openxmlformats.org/officeDocument/2006/relationships/image" Target="media/image474.png"/><Relationship Id="rId518" Type="http://schemas.openxmlformats.org/officeDocument/2006/relationships/image" Target="media/image475.png"/><Relationship Id="rId519" Type="http://schemas.openxmlformats.org/officeDocument/2006/relationships/image" Target="media/image476.png"/><Relationship Id="rId520" Type="http://schemas.openxmlformats.org/officeDocument/2006/relationships/image" Target="media/image477.png"/><Relationship Id="rId521" Type="http://schemas.openxmlformats.org/officeDocument/2006/relationships/image" Target="media/image478.png"/><Relationship Id="rId522" Type="http://schemas.openxmlformats.org/officeDocument/2006/relationships/image" Target="media/image479.png"/><Relationship Id="rId523" Type="http://schemas.openxmlformats.org/officeDocument/2006/relationships/image" Target="media/image480.png"/><Relationship Id="rId524" Type="http://schemas.openxmlformats.org/officeDocument/2006/relationships/image" Target="media/image481.png"/><Relationship Id="rId525" Type="http://schemas.openxmlformats.org/officeDocument/2006/relationships/image" Target="media/image482.png"/><Relationship Id="rId526" Type="http://schemas.openxmlformats.org/officeDocument/2006/relationships/image" Target="media/image483.png"/><Relationship Id="rId527" Type="http://schemas.openxmlformats.org/officeDocument/2006/relationships/image" Target="media/image484.png"/><Relationship Id="rId528" Type="http://schemas.openxmlformats.org/officeDocument/2006/relationships/image" Target="media/image485.png"/><Relationship Id="rId529" Type="http://schemas.openxmlformats.org/officeDocument/2006/relationships/image" Target="media/image486.png"/><Relationship Id="rId530" Type="http://schemas.openxmlformats.org/officeDocument/2006/relationships/image" Target="media/image487.png"/><Relationship Id="rId531" Type="http://schemas.openxmlformats.org/officeDocument/2006/relationships/image" Target="media/image488.png"/><Relationship Id="rId532" Type="http://schemas.openxmlformats.org/officeDocument/2006/relationships/image" Target="media/image489.png"/><Relationship Id="rId533" Type="http://schemas.openxmlformats.org/officeDocument/2006/relationships/image" Target="media/image490.png"/><Relationship Id="rId534" Type="http://schemas.openxmlformats.org/officeDocument/2006/relationships/image" Target="media/image491.png"/><Relationship Id="rId535" Type="http://schemas.openxmlformats.org/officeDocument/2006/relationships/image" Target="media/image492.png"/><Relationship Id="rId536" Type="http://schemas.openxmlformats.org/officeDocument/2006/relationships/image" Target="media/image493.png"/><Relationship Id="rId537" Type="http://schemas.openxmlformats.org/officeDocument/2006/relationships/image" Target="media/image494.png"/><Relationship Id="rId538" Type="http://schemas.openxmlformats.org/officeDocument/2006/relationships/image" Target="media/image495.png"/><Relationship Id="rId539" Type="http://schemas.openxmlformats.org/officeDocument/2006/relationships/image" Target="media/image496.png"/><Relationship Id="rId540" Type="http://schemas.openxmlformats.org/officeDocument/2006/relationships/image" Target="media/image497.png"/><Relationship Id="rId541" Type="http://schemas.openxmlformats.org/officeDocument/2006/relationships/image" Target="media/image498.png"/><Relationship Id="rId542" Type="http://schemas.openxmlformats.org/officeDocument/2006/relationships/image" Target="media/image499.png"/><Relationship Id="rId543" Type="http://schemas.openxmlformats.org/officeDocument/2006/relationships/image" Target="media/image500.png"/><Relationship Id="rId544" Type="http://schemas.openxmlformats.org/officeDocument/2006/relationships/image" Target="media/image501.png"/><Relationship Id="rId545" Type="http://schemas.openxmlformats.org/officeDocument/2006/relationships/image" Target="media/image502.png"/><Relationship Id="rId546" Type="http://schemas.openxmlformats.org/officeDocument/2006/relationships/image" Target="media/image503.png"/><Relationship Id="rId547" Type="http://schemas.openxmlformats.org/officeDocument/2006/relationships/image" Target="media/image504.png"/><Relationship Id="rId548" Type="http://schemas.openxmlformats.org/officeDocument/2006/relationships/image" Target="media/image505.png"/><Relationship Id="rId549" Type="http://schemas.openxmlformats.org/officeDocument/2006/relationships/image" Target="media/image506.png"/><Relationship Id="rId550" Type="http://schemas.openxmlformats.org/officeDocument/2006/relationships/image" Target="media/image507.png"/><Relationship Id="rId551" Type="http://schemas.openxmlformats.org/officeDocument/2006/relationships/image" Target="media/image508.png"/><Relationship Id="rId552" Type="http://schemas.openxmlformats.org/officeDocument/2006/relationships/image" Target="media/image509.png"/><Relationship Id="rId553" Type="http://schemas.openxmlformats.org/officeDocument/2006/relationships/image" Target="media/image510.png"/><Relationship Id="rId554" Type="http://schemas.openxmlformats.org/officeDocument/2006/relationships/image" Target="media/image511.png"/><Relationship Id="rId555" Type="http://schemas.openxmlformats.org/officeDocument/2006/relationships/image" Target="media/image512.png"/><Relationship Id="rId556" Type="http://schemas.openxmlformats.org/officeDocument/2006/relationships/image" Target="media/image513.png"/><Relationship Id="rId557" Type="http://schemas.openxmlformats.org/officeDocument/2006/relationships/image" Target="media/image514.png"/><Relationship Id="rId558" Type="http://schemas.openxmlformats.org/officeDocument/2006/relationships/image" Target="media/image515.png"/><Relationship Id="rId559" Type="http://schemas.openxmlformats.org/officeDocument/2006/relationships/image" Target="media/image516.png"/><Relationship Id="rId560" Type="http://schemas.openxmlformats.org/officeDocument/2006/relationships/image" Target="media/image517.png"/><Relationship Id="rId561" Type="http://schemas.openxmlformats.org/officeDocument/2006/relationships/image" Target="media/image518.png"/><Relationship Id="rId562" Type="http://schemas.openxmlformats.org/officeDocument/2006/relationships/image" Target="media/image519.png"/><Relationship Id="rId563" Type="http://schemas.openxmlformats.org/officeDocument/2006/relationships/image" Target="media/image520.png"/><Relationship Id="rId564" Type="http://schemas.openxmlformats.org/officeDocument/2006/relationships/image" Target="media/image521.png"/><Relationship Id="rId565" Type="http://schemas.openxmlformats.org/officeDocument/2006/relationships/image" Target="media/image522.png"/><Relationship Id="rId566" Type="http://schemas.openxmlformats.org/officeDocument/2006/relationships/image" Target="media/image523.png"/><Relationship Id="rId567" Type="http://schemas.openxmlformats.org/officeDocument/2006/relationships/image" Target="media/image524.png"/><Relationship Id="rId568" Type="http://schemas.openxmlformats.org/officeDocument/2006/relationships/image" Target="media/image525.png"/><Relationship Id="rId569" Type="http://schemas.openxmlformats.org/officeDocument/2006/relationships/image" Target="media/image526.png"/><Relationship Id="rId570" Type="http://schemas.openxmlformats.org/officeDocument/2006/relationships/image" Target="media/image527.png"/><Relationship Id="rId571" Type="http://schemas.openxmlformats.org/officeDocument/2006/relationships/image" Target="media/image528.png"/><Relationship Id="rId572" Type="http://schemas.openxmlformats.org/officeDocument/2006/relationships/image" Target="media/image529.png"/><Relationship Id="rId573" Type="http://schemas.openxmlformats.org/officeDocument/2006/relationships/image" Target="media/image530.png"/><Relationship Id="rId574" Type="http://schemas.openxmlformats.org/officeDocument/2006/relationships/image" Target="media/image531.png"/><Relationship Id="rId575" Type="http://schemas.openxmlformats.org/officeDocument/2006/relationships/image" Target="media/image532.png"/><Relationship Id="rId576" Type="http://schemas.openxmlformats.org/officeDocument/2006/relationships/image" Target="media/image533.png"/><Relationship Id="rId577" Type="http://schemas.openxmlformats.org/officeDocument/2006/relationships/image" Target="media/image534.png"/><Relationship Id="rId578" Type="http://schemas.openxmlformats.org/officeDocument/2006/relationships/image" Target="media/image535.png"/><Relationship Id="rId579" Type="http://schemas.openxmlformats.org/officeDocument/2006/relationships/image" Target="media/image536.png"/><Relationship Id="rId580" Type="http://schemas.openxmlformats.org/officeDocument/2006/relationships/image" Target="media/image537.png"/><Relationship Id="rId581" Type="http://schemas.openxmlformats.org/officeDocument/2006/relationships/image" Target="media/image538.png"/><Relationship Id="rId582" Type="http://schemas.openxmlformats.org/officeDocument/2006/relationships/image" Target="media/image539.png"/><Relationship Id="rId583" Type="http://schemas.openxmlformats.org/officeDocument/2006/relationships/image" Target="media/image540.png"/><Relationship Id="rId584" Type="http://schemas.openxmlformats.org/officeDocument/2006/relationships/image" Target="media/image541.png"/><Relationship Id="rId585" Type="http://schemas.openxmlformats.org/officeDocument/2006/relationships/image" Target="media/image542.png"/><Relationship Id="rId586" Type="http://schemas.openxmlformats.org/officeDocument/2006/relationships/image" Target="media/image543.png"/><Relationship Id="rId587" Type="http://schemas.openxmlformats.org/officeDocument/2006/relationships/image" Target="media/image544.png"/><Relationship Id="rId588" Type="http://schemas.openxmlformats.org/officeDocument/2006/relationships/image" Target="media/image545.png"/><Relationship Id="rId589" Type="http://schemas.openxmlformats.org/officeDocument/2006/relationships/image" Target="media/image546.png"/><Relationship Id="rId590" Type="http://schemas.openxmlformats.org/officeDocument/2006/relationships/image" Target="media/image547.png"/><Relationship Id="rId591" Type="http://schemas.openxmlformats.org/officeDocument/2006/relationships/image" Target="media/image548.png"/><Relationship Id="rId592" Type="http://schemas.openxmlformats.org/officeDocument/2006/relationships/image" Target="media/image549.png"/><Relationship Id="rId593" Type="http://schemas.openxmlformats.org/officeDocument/2006/relationships/image" Target="media/image550.png"/><Relationship Id="rId594" Type="http://schemas.openxmlformats.org/officeDocument/2006/relationships/image" Target="media/image551.png"/><Relationship Id="rId595" Type="http://schemas.openxmlformats.org/officeDocument/2006/relationships/image" Target="media/image552.png"/><Relationship Id="rId596" Type="http://schemas.openxmlformats.org/officeDocument/2006/relationships/image" Target="media/image553.png"/><Relationship Id="rId597" Type="http://schemas.openxmlformats.org/officeDocument/2006/relationships/image" Target="media/image554.png"/><Relationship Id="rId598" Type="http://schemas.openxmlformats.org/officeDocument/2006/relationships/image" Target="media/image555.png"/><Relationship Id="rId599" Type="http://schemas.openxmlformats.org/officeDocument/2006/relationships/image" Target="media/image556.png"/><Relationship Id="rId600" Type="http://schemas.openxmlformats.org/officeDocument/2006/relationships/image" Target="media/image557.png"/><Relationship Id="rId601" Type="http://schemas.openxmlformats.org/officeDocument/2006/relationships/image" Target="media/image558.png"/><Relationship Id="rId602" Type="http://schemas.openxmlformats.org/officeDocument/2006/relationships/image" Target="media/image559.png"/><Relationship Id="rId603" Type="http://schemas.openxmlformats.org/officeDocument/2006/relationships/image" Target="media/image560.png"/><Relationship Id="rId604" Type="http://schemas.openxmlformats.org/officeDocument/2006/relationships/image" Target="media/image561.png"/><Relationship Id="rId605" Type="http://schemas.openxmlformats.org/officeDocument/2006/relationships/image" Target="media/image562.png"/><Relationship Id="rId606" Type="http://schemas.openxmlformats.org/officeDocument/2006/relationships/image" Target="media/image563.png"/><Relationship Id="rId607" Type="http://schemas.openxmlformats.org/officeDocument/2006/relationships/image" Target="media/image564.png"/><Relationship Id="rId608" Type="http://schemas.openxmlformats.org/officeDocument/2006/relationships/image" Target="media/image565.png"/><Relationship Id="rId609" Type="http://schemas.openxmlformats.org/officeDocument/2006/relationships/image" Target="media/image566.png"/><Relationship Id="rId610" Type="http://schemas.openxmlformats.org/officeDocument/2006/relationships/image" Target="media/image567.png"/><Relationship Id="rId611" Type="http://schemas.openxmlformats.org/officeDocument/2006/relationships/image" Target="media/image568.png"/><Relationship Id="rId612" Type="http://schemas.openxmlformats.org/officeDocument/2006/relationships/image" Target="media/image569.png"/><Relationship Id="rId613" Type="http://schemas.openxmlformats.org/officeDocument/2006/relationships/image" Target="media/image570.png"/><Relationship Id="rId614" Type="http://schemas.openxmlformats.org/officeDocument/2006/relationships/image" Target="media/image571.png"/><Relationship Id="rId615" Type="http://schemas.openxmlformats.org/officeDocument/2006/relationships/image" Target="media/image572.png"/><Relationship Id="rId616" Type="http://schemas.openxmlformats.org/officeDocument/2006/relationships/image" Target="media/image573.png"/><Relationship Id="rId617" Type="http://schemas.openxmlformats.org/officeDocument/2006/relationships/image" Target="media/image574.png"/><Relationship Id="rId618" Type="http://schemas.openxmlformats.org/officeDocument/2006/relationships/image" Target="media/image575.png"/><Relationship Id="rId619" Type="http://schemas.openxmlformats.org/officeDocument/2006/relationships/image" Target="media/image576.png"/><Relationship Id="rId620" Type="http://schemas.openxmlformats.org/officeDocument/2006/relationships/image" Target="media/image577.png"/><Relationship Id="rId621" Type="http://schemas.openxmlformats.org/officeDocument/2006/relationships/image" Target="media/image578.png"/><Relationship Id="rId622" Type="http://schemas.openxmlformats.org/officeDocument/2006/relationships/image" Target="media/image579.png"/><Relationship Id="rId623" Type="http://schemas.openxmlformats.org/officeDocument/2006/relationships/image" Target="media/image580.png"/><Relationship Id="rId624" Type="http://schemas.openxmlformats.org/officeDocument/2006/relationships/image" Target="media/image581.png"/><Relationship Id="rId625" Type="http://schemas.openxmlformats.org/officeDocument/2006/relationships/image" Target="media/image582.png"/><Relationship Id="rId626" Type="http://schemas.openxmlformats.org/officeDocument/2006/relationships/image" Target="media/image583.png"/><Relationship Id="rId627" Type="http://schemas.openxmlformats.org/officeDocument/2006/relationships/image" Target="media/image584.png"/><Relationship Id="rId628" Type="http://schemas.openxmlformats.org/officeDocument/2006/relationships/image" Target="media/image585.png"/><Relationship Id="rId629" Type="http://schemas.openxmlformats.org/officeDocument/2006/relationships/image" Target="media/image586.png"/><Relationship Id="rId630" Type="http://schemas.openxmlformats.org/officeDocument/2006/relationships/image" Target="media/image587.png"/><Relationship Id="rId631" Type="http://schemas.openxmlformats.org/officeDocument/2006/relationships/image" Target="media/image588.png"/><Relationship Id="rId632" Type="http://schemas.openxmlformats.org/officeDocument/2006/relationships/image" Target="media/image589.png"/><Relationship Id="rId633" Type="http://schemas.openxmlformats.org/officeDocument/2006/relationships/image" Target="media/image590.png"/><Relationship Id="rId634" Type="http://schemas.openxmlformats.org/officeDocument/2006/relationships/image" Target="media/image591.png"/><Relationship Id="rId635" Type="http://schemas.openxmlformats.org/officeDocument/2006/relationships/image" Target="media/image592.png"/><Relationship Id="rId636" Type="http://schemas.openxmlformats.org/officeDocument/2006/relationships/image" Target="media/image593.png"/><Relationship Id="rId637" Type="http://schemas.openxmlformats.org/officeDocument/2006/relationships/image" Target="media/image594.png"/><Relationship Id="rId638" Type="http://schemas.openxmlformats.org/officeDocument/2006/relationships/image" Target="media/image595.png"/><Relationship Id="rId639" Type="http://schemas.openxmlformats.org/officeDocument/2006/relationships/image" Target="media/image596.png"/><Relationship Id="rId640" Type="http://schemas.openxmlformats.org/officeDocument/2006/relationships/image" Target="media/image597.png"/><Relationship Id="rId641" Type="http://schemas.openxmlformats.org/officeDocument/2006/relationships/image" Target="media/image598.png"/><Relationship Id="rId642" Type="http://schemas.openxmlformats.org/officeDocument/2006/relationships/image" Target="media/image599.png"/><Relationship Id="rId643" Type="http://schemas.openxmlformats.org/officeDocument/2006/relationships/image" Target="media/image600.png"/><Relationship Id="rId644" Type="http://schemas.openxmlformats.org/officeDocument/2006/relationships/image" Target="media/image601.png"/><Relationship Id="rId645" Type="http://schemas.openxmlformats.org/officeDocument/2006/relationships/image" Target="media/image602.png"/><Relationship Id="rId646" Type="http://schemas.openxmlformats.org/officeDocument/2006/relationships/image" Target="media/image603.png"/><Relationship Id="rId647" Type="http://schemas.openxmlformats.org/officeDocument/2006/relationships/image" Target="media/image604.png"/><Relationship Id="rId648" Type="http://schemas.openxmlformats.org/officeDocument/2006/relationships/image" Target="media/image605.png"/><Relationship Id="rId649" Type="http://schemas.openxmlformats.org/officeDocument/2006/relationships/image" Target="media/image606.png"/><Relationship Id="rId650" Type="http://schemas.openxmlformats.org/officeDocument/2006/relationships/image" Target="media/image607.png"/><Relationship Id="rId651" Type="http://schemas.openxmlformats.org/officeDocument/2006/relationships/image" Target="media/image608.png"/><Relationship Id="rId652" Type="http://schemas.openxmlformats.org/officeDocument/2006/relationships/image" Target="media/image609.png"/><Relationship Id="rId653" Type="http://schemas.openxmlformats.org/officeDocument/2006/relationships/image" Target="media/image610.png"/><Relationship Id="rId654" Type="http://schemas.openxmlformats.org/officeDocument/2006/relationships/image" Target="media/image611.png"/><Relationship Id="rId655" Type="http://schemas.openxmlformats.org/officeDocument/2006/relationships/image" Target="media/image612.png"/><Relationship Id="rId656" Type="http://schemas.openxmlformats.org/officeDocument/2006/relationships/image" Target="media/image613.png"/><Relationship Id="rId657" Type="http://schemas.openxmlformats.org/officeDocument/2006/relationships/image" Target="media/image614.png"/><Relationship Id="rId658" Type="http://schemas.openxmlformats.org/officeDocument/2006/relationships/image" Target="media/image615.png"/><Relationship Id="rId659" Type="http://schemas.openxmlformats.org/officeDocument/2006/relationships/image" Target="media/image616.png"/><Relationship Id="rId660" Type="http://schemas.openxmlformats.org/officeDocument/2006/relationships/image" Target="media/image617.png"/><Relationship Id="rId661" Type="http://schemas.openxmlformats.org/officeDocument/2006/relationships/image" Target="media/image618.png"/><Relationship Id="rId662" Type="http://schemas.openxmlformats.org/officeDocument/2006/relationships/image" Target="media/image619.jpeg"/><Relationship Id="rId663" Type="http://schemas.openxmlformats.org/officeDocument/2006/relationships/image" Target="media/image620.png"/><Relationship Id="rId664" Type="http://schemas.openxmlformats.org/officeDocument/2006/relationships/image" Target="media/image621.png"/><Relationship Id="rId665" Type="http://schemas.openxmlformats.org/officeDocument/2006/relationships/image" Target="media/image622.png"/><Relationship Id="rId666" Type="http://schemas.openxmlformats.org/officeDocument/2006/relationships/image" Target="media/image623.png"/><Relationship Id="rId667" Type="http://schemas.openxmlformats.org/officeDocument/2006/relationships/image" Target="media/image624.png"/><Relationship Id="rId668" Type="http://schemas.openxmlformats.org/officeDocument/2006/relationships/image" Target="media/image625.png"/><Relationship Id="rId669" Type="http://schemas.openxmlformats.org/officeDocument/2006/relationships/image" Target="media/image626.png"/><Relationship Id="rId670" Type="http://schemas.openxmlformats.org/officeDocument/2006/relationships/image" Target="media/image627.png"/><Relationship Id="rId671" Type="http://schemas.openxmlformats.org/officeDocument/2006/relationships/image" Target="media/image628.png"/><Relationship Id="rId672" Type="http://schemas.openxmlformats.org/officeDocument/2006/relationships/image" Target="media/image629.png"/><Relationship Id="rId673" Type="http://schemas.openxmlformats.org/officeDocument/2006/relationships/image" Target="media/image630.png"/><Relationship Id="rId674" Type="http://schemas.openxmlformats.org/officeDocument/2006/relationships/image" Target="media/image631.png"/><Relationship Id="rId675" Type="http://schemas.openxmlformats.org/officeDocument/2006/relationships/image" Target="media/image632.png"/><Relationship Id="rId676" Type="http://schemas.openxmlformats.org/officeDocument/2006/relationships/image" Target="media/image633.png"/><Relationship Id="rId677" Type="http://schemas.openxmlformats.org/officeDocument/2006/relationships/image" Target="media/image634.png"/><Relationship Id="rId678" Type="http://schemas.openxmlformats.org/officeDocument/2006/relationships/image" Target="media/image635.png"/><Relationship Id="rId679" Type="http://schemas.openxmlformats.org/officeDocument/2006/relationships/image" Target="media/image636.png"/><Relationship Id="rId680" Type="http://schemas.openxmlformats.org/officeDocument/2006/relationships/image" Target="media/image637.png"/><Relationship Id="rId681" Type="http://schemas.openxmlformats.org/officeDocument/2006/relationships/image" Target="media/image638.png"/><Relationship Id="rId682" Type="http://schemas.openxmlformats.org/officeDocument/2006/relationships/image" Target="media/image639.png"/><Relationship Id="rId683" Type="http://schemas.openxmlformats.org/officeDocument/2006/relationships/image" Target="media/image640.png"/><Relationship Id="rId684" Type="http://schemas.openxmlformats.org/officeDocument/2006/relationships/image" Target="media/image641.png"/><Relationship Id="rId685" Type="http://schemas.openxmlformats.org/officeDocument/2006/relationships/image" Target="media/image642.png"/><Relationship Id="rId686" Type="http://schemas.openxmlformats.org/officeDocument/2006/relationships/image" Target="media/image643.png"/><Relationship Id="rId687" Type="http://schemas.openxmlformats.org/officeDocument/2006/relationships/image" Target="media/image644.png"/><Relationship Id="rId688" Type="http://schemas.openxmlformats.org/officeDocument/2006/relationships/image" Target="media/image645.png"/><Relationship Id="rId689" Type="http://schemas.openxmlformats.org/officeDocument/2006/relationships/image" Target="media/image646.png"/><Relationship Id="rId690" Type="http://schemas.openxmlformats.org/officeDocument/2006/relationships/image" Target="media/image647.png"/><Relationship Id="rId691" Type="http://schemas.openxmlformats.org/officeDocument/2006/relationships/image" Target="media/image648.png"/><Relationship Id="rId692" Type="http://schemas.openxmlformats.org/officeDocument/2006/relationships/image" Target="media/image649.png"/><Relationship Id="rId693" Type="http://schemas.openxmlformats.org/officeDocument/2006/relationships/image" Target="media/image650.png"/><Relationship Id="rId694" Type="http://schemas.openxmlformats.org/officeDocument/2006/relationships/image" Target="media/image651.png"/><Relationship Id="rId695" Type="http://schemas.openxmlformats.org/officeDocument/2006/relationships/image" Target="media/image652.png"/><Relationship Id="rId696" Type="http://schemas.openxmlformats.org/officeDocument/2006/relationships/image" Target="media/image653.png"/><Relationship Id="rId697" Type="http://schemas.openxmlformats.org/officeDocument/2006/relationships/image" Target="media/image654.png"/><Relationship Id="rId698" Type="http://schemas.openxmlformats.org/officeDocument/2006/relationships/image" Target="media/image655.png"/><Relationship Id="rId699" Type="http://schemas.openxmlformats.org/officeDocument/2006/relationships/image" Target="media/image656.png"/><Relationship Id="rId700" Type="http://schemas.openxmlformats.org/officeDocument/2006/relationships/image" Target="media/image657.png"/><Relationship Id="rId701" Type="http://schemas.openxmlformats.org/officeDocument/2006/relationships/image" Target="media/image658.png"/><Relationship Id="rId702" Type="http://schemas.openxmlformats.org/officeDocument/2006/relationships/image" Target="media/image659.png"/><Relationship Id="rId703" Type="http://schemas.openxmlformats.org/officeDocument/2006/relationships/image" Target="media/image660.png"/><Relationship Id="rId704" Type="http://schemas.openxmlformats.org/officeDocument/2006/relationships/image" Target="media/image661.png"/><Relationship Id="rId705" Type="http://schemas.openxmlformats.org/officeDocument/2006/relationships/image" Target="media/image662.png"/><Relationship Id="rId706" Type="http://schemas.openxmlformats.org/officeDocument/2006/relationships/image" Target="media/image663.png"/><Relationship Id="rId707" Type="http://schemas.openxmlformats.org/officeDocument/2006/relationships/image" Target="media/image664.png"/><Relationship Id="rId708" Type="http://schemas.openxmlformats.org/officeDocument/2006/relationships/image" Target="media/image665.png"/><Relationship Id="rId709" Type="http://schemas.openxmlformats.org/officeDocument/2006/relationships/image" Target="media/image666.png"/><Relationship Id="rId710" Type="http://schemas.openxmlformats.org/officeDocument/2006/relationships/image" Target="media/image667.png"/><Relationship Id="rId711" Type="http://schemas.openxmlformats.org/officeDocument/2006/relationships/image" Target="media/image668.png"/><Relationship Id="rId712" Type="http://schemas.openxmlformats.org/officeDocument/2006/relationships/image" Target="media/image669.png"/><Relationship Id="rId713" Type="http://schemas.openxmlformats.org/officeDocument/2006/relationships/image" Target="media/image670.png"/><Relationship Id="rId714" Type="http://schemas.openxmlformats.org/officeDocument/2006/relationships/image" Target="media/image671.png"/><Relationship Id="rId715" Type="http://schemas.openxmlformats.org/officeDocument/2006/relationships/image" Target="media/image672.png"/><Relationship Id="rId716" Type="http://schemas.openxmlformats.org/officeDocument/2006/relationships/image" Target="media/image673.png"/><Relationship Id="rId717" Type="http://schemas.openxmlformats.org/officeDocument/2006/relationships/image" Target="media/image674.png"/><Relationship Id="rId718" Type="http://schemas.openxmlformats.org/officeDocument/2006/relationships/image" Target="media/image675.png"/><Relationship Id="rId719" Type="http://schemas.openxmlformats.org/officeDocument/2006/relationships/image" Target="media/image676.png"/><Relationship Id="rId720" Type="http://schemas.openxmlformats.org/officeDocument/2006/relationships/image" Target="media/image677.png"/><Relationship Id="rId351" Type="http://schemas.openxmlformats.org/officeDocument/2006/relationships/hyperlink" Target="https://www.sec.gov/Archives/edgar/data/921299/000119312514420380/d824859dex31.htm" TargetMode="External"/><Relationship Id="rId352" Type="http://schemas.openxmlformats.org/officeDocument/2006/relationships/hyperlink" Target="https://www.sec.gov/Archives/edgar/data/921299/000095017025051219/fgen-ex3_1.htm" TargetMode="External"/><Relationship Id="rId353" Type="http://schemas.openxmlformats.org/officeDocument/2006/relationships/hyperlink" Target="https://www.sec.gov/Archives/edgar/data/921299/000119312526006327/fgen-ex3_2.htm" TargetMode="External"/><Relationship Id="rId354" Type="http://schemas.openxmlformats.org/officeDocument/2006/relationships/hyperlink" Target="https://www.sec.gov/Archives/edgar/data/921299/000095017025085439/fgen-ex3_1.htm" TargetMode="External"/><Relationship Id="rId355" Type="http://schemas.openxmlformats.org/officeDocument/2006/relationships/hyperlink" Target="https://www.sec.gov/Archives/edgar/data/921299/000119312526006327/fgen-ex3_1.htm" TargetMode="External"/><Relationship Id="rId356" Type="http://schemas.openxmlformats.org/officeDocument/2006/relationships/hyperlink" Target="https://www.sec.gov/Archives/edgar/data/921299/000119312514420380/d824859dex41.htm" TargetMode="External"/><Relationship Id="rId357" Type="http://schemas.openxmlformats.org/officeDocument/2006/relationships/hyperlink" Target="https://www.sec.gov/Archives/edgar/data/921299/000156459017022738/fgen-ex46_97.htm" TargetMode="External"/><Relationship Id="rId358" Type="http://schemas.openxmlformats.org/officeDocument/2006/relationships/hyperlink" Target="https://www.sec.gov/Archives/edgar/data/0000921299/000156459020008161/fgen-ex44_244.htm" TargetMode="External"/><Relationship Id="rId361" Type="http://schemas.openxmlformats.org/officeDocument/2006/relationships/hyperlink" Target="https://www.sec.gov/Archives/edgar/data/921299/000095017023018814/fgen-ex10_3.htm" TargetMode="External"/><Relationship Id="rId362" Type="http://schemas.openxmlformats.org/officeDocument/2006/relationships/hyperlink" Target="https://www.sec.gov/Archives/edgar/data/0000921299/000156459020051315/fgen-ex101_102.htm" TargetMode="External"/><Relationship Id="rId363" Type="http://schemas.openxmlformats.org/officeDocument/2006/relationships/hyperlink" Target="https://www.sec.gov/Archives/edgar/data/0000921299/000156459019004979/fgen-ex109i_141.htm" TargetMode="External"/><Relationship Id="rId364" Type="http://schemas.openxmlformats.org/officeDocument/2006/relationships/hyperlink" Target="https://www.sec.gov/Archives/edgar/data/921299/000095017025106549/fgen-ex10_1.htm" TargetMode="External"/><Relationship Id="rId365" Type="http://schemas.openxmlformats.org/officeDocument/2006/relationships/hyperlink" Target="https://www.sec.gov/Archives/edgar/data/921299/000119312514359619/d720189dex1012.htm" TargetMode="External"/><Relationship Id="rId366" Type="http://schemas.openxmlformats.org/officeDocument/2006/relationships/hyperlink" Target="https://www.sec.gov/Archives/edgar/data/921299/000119312514359619/d720189dex1013.htm" TargetMode="External"/><Relationship Id="rId367" Type="http://schemas.openxmlformats.org/officeDocument/2006/relationships/hyperlink" Target="https://www.sec.gov/Archives/edgar/data/921299/000119312514359619/d720189dex1014.htm" TargetMode="External"/><Relationship Id="rId368" Type="http://schemas.openxmlformats.org/officeDocument/2006/relationships/hyperlink" Target="https://www.sec.gov/Archives/edgar/data/921299/000119312514359619/d720189dex1015.htm" TargetMode="External"/><Relationship Id="rId371" Type="http://schemas.openxmlformats.org/officeDocument/2006/relationships/hyperlink" Target="https://www.sec.gov/Archives/edgar/data/921299/000119312514359619/d720189dex1016.htm" TargetMode="External"/><Relationship Id="rId372" Type="http://schemas.openxmlformats.org/officeDocument/2006/relationships/hyperlink" Target="https://www.sec.gov/Archives/edgar/data/0000921299/000156459020008161/fgen-ex1028_711.htm" TargetMode="External"/><Relationship Id="rId373" Type="http://schemas.openxmlformats.org/officeDocument/2006/relationships/hyperlink" Target="https://www.sec.gov/Archives/edgar/data/0000921299/000156459020012585/fgen-ex991_15.htm" TargetMode="External"/><Relationship Id="rId374" Type="http://schemas.openxmlformats.org/officeDocument/2006/relationships/hyperlink" Target="https://www.sec.gov/Archives/edgar/data/0000921299/000156459020037760/fgen-ex102_89.htm" TargetMode="External"/><Relationship Id="rId375" Type="http://schemas.openxmlformats.org/officeDocument/2006/relationships/hyperlink" Target="https://www.sec.gov/Archives/edgar/data/0000921299/000156459020051315/fgen-ex108_100.htm" TargetMode="External"/><Relationship Id="rId376" Type="http://schemas.openxmlformats.org/officeDocument/2006/relationships/hyperlink" Target="https://www.sec.gov/Archives/edgar/data/0000921299/000156459021026053/fgen-ex102_228.htm" TargetMode="External"/><Relationship Id="rId377" Type="http://schemas.openxmlformats.org/officeDocument/2006/relationships/hyperlink" Target="https://www.sec.gov/Archives/edgar/data/0000921299/000156459021026053/fgen-ex103_249.htm" TargetMode="External"/><Relationship Id="rId378" Type="http://schemas.openxmlformats.org/officeDocument/2006/relationships/hyperlink" Target="https://www.sec.gov/Archives/edgar/data/921299/000156459022007632/fgen-ex1036_220.htm" TargetMode="External"/><Relationship Id="rId381" Type="http://schemas.openxmlformats.org/officeDocument/2006/relationships/hyperlink" Target="https://www.sec.gov/Archives/edgar/data/921299/000119312525033539/d921088dex11.htm" TargetMode="External"/><Relationship Id="rId382" Type="http://schemas.openxmlformats.org/officeDocument/2006/relationships/hyperlink" Target="https://www.sec.gov/Archives/edgar/data/921299/000095017023004668/fgen-ex10_46.htm" TargetMode="External"/><Relationship Id="rId383" Type="http://schemas.openxmlformats.org/officeDocument/2006/relationships/hyperlink" Target="https://www.sec.gov/Archives/edgar/data/921299/000095017023004668/fgen-ex10_47.htm" TargetMode="External"/><Relationship Id="rId384" Type="http://schemas.openxmlformats.org/officeDocument/2006/relationships/hyperlink" Target="https://www.sec.gov/Archives/edgar/data/921299/000095017023018814/fgen-ex10_2.htm" TargetMode="External"/><Relationship Id="rId385" Type="http://schemas.openxmlformats.org/officeDocument/2006/relationships/hyperlink" Target="https://www.sec.gov/Archives/edgar/data/921299/000095017023034234/fgen-ex10_1.htm" TargetMode="External"/><Relationship Id="rId386" Type="http://schemas.openxmlformats.org/officeDocument/2006/relationships/hyperlink" Target="https://www.sec.gov/Archives/edgar/data/921299/000095017024091808/fgen-ex10_2.htm" TargetMode="External"/><Relationship Id="rId387" Type="http://schemas.openxmlformats.org/officeDocument/2006/relationships/hyperlink" Target="https://www.sec.gov/Archives/edgar/data/921299/000095017024091808/fgen-ex10_3.htm" TargetMode="External"/><Relationship Id="rId388" Type="http://schemas.openxmlformats.org/officeDocument/2006/relationships/hyperlink" Target="https://www.sec.gov/Archives/edgar/data/921299/000095017025069203/fgen-ex10_2.htm" TargetMode="External"/><Relationship Id="rId389" Type="http://schemas.openxmlformats.org/officeDocument/2006/relationships/hyperlink" Target="https://www.sec.gov/Archives/edgar/data/921299/000095017025069203/fgen-ex10_3.htm" TargetMode="External"/><Relationship Id="rId394" Type="http://schemas.openxmlformats.org/officeDocument/2006/relationships/hyperlink" Target="https://www.sec.gov/Archives/edgar/data/921299/000119312525274241/fgen-ex10_2.htm" TargetMode="External"/><Relationship Id="rId395" Type="http://schemas.openxmlformats.org/officeDocument/2006/relationships/hyperlink" Target="https://www.sec.gov/Archives/edgar/data/921299/000095017025069203/fgen-ex10_1.htm" TargetMode="External"/><Relationship Id="rId396" Type="http://schemas.openxmlformats.org/officeDocument/2006/relationships/hyperlink" Target="https://www.sec.gov/Archives/edgar/data/921299/000119312525274241/fgen-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2026-03-16T15:30:24Z</dcterms:created>
  <dcterms:modified xsi:type="dcterms:W3CDTF">2026-03-16T15:30:24Z</dcterms:modified>
</cp:coreProperties>
</file>