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nb-20260813.htm"/>
      <w:bookmarkStart w:id="1" w:name="kskynb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001-36740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350 Bay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Suite 100 #6009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 xml:space="preserve">978-1200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2026, Kyntra Bio, Inc. (“Kyntra Bio”) issued a press release announcing financial results for the quarter ended June 30, 2026. A copy of such press release is furnished as Exhibit 99.1 to this report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Exhibit 99.1, shall not be deemed “filed” for purposes of Section 18 of the Securities Exchange Act of 1934, as amended, or otherwise subject to the liabilities of that Section or Sections 11 and 12(a)(2) of the Securities Act of 1933, as amended. The information contained in this Item 2.02, in Exhibit 99.1 shall not be incorporated by reference into any filing with the U.S. Securities and Exchange Commission made by Kyntra Bio,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810" w:type="dxa"/>
        <w:jc w:val="left"/>
        <w:tblInd w:w="0" w:type="dxa"/>
        <w:tblLayout w:type="fixed"/>
        <w:tblCellMar>
          <w:top w:w="28" w:type="dxa"/>
          <w:left w:w="28" w:type="dxa"/>
          <w:bottom w:w="28" w:type="dxa"/>
          <w:right w:w="28" w:type="dxa"/>
        </w:tblCellMar>
      </w:tblPr>
      <w:tblGrid>
        <w:gridCol w:w="498"/>
        <w:gridCol w:w="447"/>
        <w:gridCol w:w="265"/>
        <w:gridCol w:w="4180"/>
        <w:gridCol w:w="2420"/>
      </w:tblGrid>
      <w:tr>
        <w:trPr/>
        <w:tc>
          <w:tcPr>
            <w:tcW w:w="49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8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489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2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pPr>
            <w:hyperlink w:anchor="kynb-ex99_1.htm">
              <w:r>
                <w:rPr>
                  <w:rStyle w:val="InternetLink"/>
                  <w:rFonts w:ascii="Times New Roman" w:hAnsi="Times New Roman"/>
                  <w:color w:val="0000FF"/>
                  <w:sz w:val="20"/>
                  <w:u w:val="single"/>
                </w:rPr>
                <w:t>Press Release dated August 13, 2026</w:t>
              </w:r>
            </w:hyperlink>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45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KYNTRA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DeLucia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DeLucia</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kynb-ex99_1.htm"/>
      <w:bookmarkStart w:id="3" w:name="kskynbex99_1"/>
      <w:bookmarkEnd w:id="2"/>
      <w:bookmarkEnd w:id="3"/>
      <w:r>
        <w:rPr>
          <w:rFonts w:ascii="Times New Roman" w:hAnsi="Times New Roman"/>
          <w:b/>
          <w:color w:val="000000"/>
          <w:sz w:val="20"/>
        </w:rPr>
        <w:t>Exhibit 99.1</w:t>
      </w:r>
      <w:r>
        <w:br w:type="page"/>
      </w:r>
    </w:p>
    <w:p>
      <w:pPr>
        <w:pStyle w:val="TextBody"/>
        <w:bidi w:val="0"/>
        <w:spacing w:before="360" w:after="283"/>
        <w:jc w:val="center"/>
        <w:rPr>
          <w:rFonts w:ascii="Times New Roman" w:hAnsi="Times New Roman"/>
          <w:b/>
          <w:color w:val="000000"/>
          <w:sz w:val="24"/>
        </w:rPr>
      </w:pPr>
      <w:r>
        <w:rPr>
          <w:rFonts w:ascii="Times New Roman" w:hAnsi="Times New Roman"/>
          <w:b/>
          <w:color w:val="000000"/>
          <w:sz w:val="24"/>
        </w:rPr>
        <w:t>Kyntra Bio Reports Second Quarter 2026 Financial Results and Provides Business Update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Phase 2 monotherapy trial of FG-3246, a potential first-in-class antibody drug conjugate (ADC) targeting CD46 in metastatic castration-resistant prostate cancer (mCRPC), continues enrolling with interim analysis on track for 4Q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Phase 3 protocol of roxadustat for the treatment of anemia in patients with lower-risk myelodysplastic syndromes (LR-MDS) and high transfusion burden (HTB) has been finalized with the goal to initiate the registrational study in 4Q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data from the Phase 3 MATTERHORN study were presented at the European Hematology Association (EHA) Congress 2026, highlighting improvements in transfusion independence in patients with HTB and regardless of ring sideroblast status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cash equivalents, investments, and accounts receivable of $95.7 million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Kyntra Bio to host conference call and webcast presentation today at 5:00 PM ET</w:t>
      </w:r>
    </w:p>
    <w:p>
      <w:pPr>
        <w:pStyle w:val="TextBody"/>
        <w:bidi w:val="0"/>
        <w:spacing w:before="12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SAN FRANCISCO, August 13, 2026 (GLOBE NEWSWIRE) -- Kyntra Bio (Nasdaq: KYNB) today reported financial results for the second quarter 2026 and provided an update on the company’s recent developments.</w:t>
      </w:r>
    </w:p>
    <w:p>
      <w:pPr>
        <w:pStyle w:val="TextBody"/>
        <w:bidi w:val="0"/>
        <w:spacing w:before="0" w:after="160"/>
        <w:jc w:val="left"/>
        <w:rPr/>
      </w:pPr>
      <w:r>
        <w:rPr>
          <w:color w:val="000000"/>
        </w:rPr>
        <w:t>“</w:t>
      </w:r>
      <w:r>
        <w:rPr>
          <w:rFonts w:ascii="Times New Roman" w:hAnsi="Times New Roman"/>
          <w:color w:val="000000"/>
          <w:sz w:val="20"/>
        </w:rPr>
        <w:t xml:space="preserve">We continue to make progress across our oncology and rare disease portfolio and remain laser-focused on advancing toward our goal of initiating a pivotal Phase 3 trial of roxadustat in LR-MDS in the fourth quarter of this year and conducting an interim analysis of the Phase 2 trial of FG-3246 in mCRPC, also in the fourth quarter of this year,” said Thane Wettig, Chief Executive Officer of Kyntra Bio. “We believe we have the substrate that will enable us to create significant value for patients and stakeholders as we advance our pipeline and look forward to providing additional updates in the coming months.”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Highlights of Second Quarter, Recent Developments, and Upcoming Milestones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FG-3246 (CD46 Targeting ADC) and FG-3180 (CD46 Targeting PET Imaging Agent)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in the Phase 2 monotherapy trial of FG-3246, a potential first-in-class ADC targeting CD46 in mCRPC continues; interim analysis is on track for the fourth quarter of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Roxadustat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Pivotal Phase 3 trial protocol of roxadustat for the treatment of anemia in patients with LR-MDS and high transfusion burden (HTB) has been finalized.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data from the Phase 3 MATTERHORN study were presented at the European Hematology Association (EHA) Congress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post hoc analysis of the Phase 3 MATTERHORN study, patients treated with roxadustat showed a clinically meaningful improvement in transfusion independence (TI) in patients with LR-MDS and HTB compared to placebo.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rates of TI for patients treated with roxadustat were observed in both ring sideroblast positive (RS+) and ring sideroblast negative (RS-)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continues to explore the opportunity to develop roxadustat internally or with a strategic partner, with the goal of initiating the Phase 3 trial in the fourth quarter of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Financial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from continuing operations for the second quarter of 2026 was $(1.5) million, as compared to $1.3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from continuing operations for the second quarter of 2026 was $12.0 million, or $2.96 net income per basic and diluted share, compared to a net loss of $13.7 million, or $3.38 net loss per basic and diluted share, one year ago.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Kyntra Bio reported $95.7 million in cash, cash equivalents, investments,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its cash, cash equivalents, investments, and accounts receivable to be sufficient to fund operating plans into 2028.</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and Webcast Presentation</w:t>
      </w:r>
    </w:p>
    <w:p>
      <w:pPr>
        <w:pStyle w:val="TextBody"/>
        <w:bidi w:val="0"/>
        <w:jc w:val="left"/>
        <w:rPr>
          <w:rFonts w:ascii="Times New Roman" w:hAnsi="Times New Roman"/>
          <w:sz w:val="20"/>
        </w:rPr>
      </w:pPr>
      <w:r>
        <w:rPr>
          <w:rFonts w:ascii="Times New Roman" w:hAnsi="Times New Roman"/>
          <w:color w:val="000000"/>
          <w:sz w:val="20"/>
        </w:rPr>
        <w:t xml:space="preserve">Kyntra Bio management team will host a conference call and webcast presentation to discuss the financial results and provide a business update. A live Q&amp;A session will follow the brief presentation. Interested parties may access a live audio webcast of the conference call </w:t>
      </w:r>
      <w:r>
        <w:rPr>
          <w:rFonts w:ascii="Times New Roman" w:hAnsi="Times New Roman"/>
          <w:sz w:val="20"/>
        </w:rPr>
        <w:t>here</w:t>
      </w:r>
      <w:r>
        <w:rPr>
          <w:rFonts w:ascii="Times New Roman" w:hAnsi="Times New Roman"/>
          <w:color w:val="000000"/>
          <w:sz w:val="20"/>
        </w:rPr>
        <w:t>.</w:t>
      </w:r>
      <w:r>
        <w:rPr>
          <w:rFonts w:ascii="Times New Roman" w:hAnsi="Times New Roman"/>
          <w:color w:val="CC0000"/>
          <w:sz w:val="20"/>
        </w:rPr>
        <w:t xml:space="preserve"> </w:t>
      </w:r>
      <w:r>
        <w:rPr>
          <w:rFonts w:ascii="Times New Roman" w:hAnsi="Times New Roman"/>
          <w:color w:val="000000"/>
          <w:sz w:val="20"/>
        </w:rPr>
        <w:t>To access the call by phone, please</w:t>
      </w:r>
      <w:r>
        <w:rPr>
          <w:rFonts w:ascii="Times New Roman" w:hAnsi="Times New Roman"/>
          <w:color w:val="CC0000"/>
          <w:sz w:val="20"/>
        </w:rPr>
        <w:t xml:space="preserve"> </w:t>
      </w:r>
      <w:r>
        <w:rPr>
          <w:rFonts w:ascii="Times New Roman" w:hAnsi="Times New Roman"/>
          <w:sz w:val="20"/>
        </w:rPr>
        <w:t>register here</w:t>
      </w:r>
      <w:r>
        <w:rPr>
          <w:rFonts w:ascii="Times New Roman" w:hAnsi="Times New Roman"/>
          <w:color w:val="000000"/>
          <w:sz w:val="20"/>
        </w:rPr>
        <w:t>, and you will be provided with dial in details. A replay of the webcast will also be available for a limited time on the</w:t>
      </w:r>
      <w:r>
        <w:rPr>
          <w:rFonts w:ascii="Times New Roman" w:hAnsi="Times New Roman"/>
          <w:color w:val="CC0000"/>
          <w:sz w:val="20"/>
        </w:rPr>
        <w:t xml:space="preserve"> </w:t>
      </w:r>
      <w:r>
        <w:rPr>
          <w:rFonts w:ascii="Times New Roman" w:hAnsi="Times New Roman"/>
          <w:sz w:val="20"/>
        </w:rPr>
        <w:t>Events &amp; Presentations</w:t>
      </w:r>
      <w:r>
        <w:rPr>
          <w:rFonts w:ascii="Times New Roman" w:hAnsi="Times New Roman"/>
          <w:color w:val="CC0000"/>
          <w:sz w:val="20"/>
        </w:rPr>
        <w:t xml:space="preserve"> </w:t>
      </w:r>
      <w:r>
        <w:rPr>
          <w:rFonts w:ascii="Times New Roman" w:hAnsi="Times New Roman"/>
          <w:color w:val="000000"/>
          <w:sz w:val="20"/>
        </w:rPr>
        <w:t>page on Kyntra Bio’s website.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FG-3246 and FG-3180</w:t>
      </w:r>
    </w:p>
    <w:p>
      <w:pPr>
        <w:pStyle w:val="TextBody"/>
        <w:bidi w:val="0"/>
        <w:jc w:val="left"/>
        <w:rPr>
          <w:rFonts w:ascii="Times New Roman" w:hAnsi="Times New Roman"/>
          <w:color w:val="000000"/>
          <w:sz w:val="20"/>
        </w:rPr>
      </w:pPr>
      <w:r>
        <w:rPr>
          <w:rFonts w:ascii="Times New Roman" w:hAnsi="Times New Roman"/>
          <w:color w:val="000000"/>
          <w:sz w:val="20"/>
        </w:rPr>
        <w:t>FG-3246 (FOR46) is a potential first-in-class fully human antibody-drug conjugate (ADC), exclusively in-licensed from Fortis Therapeutics, and is being developed by Kyntra Bio for metastatic castration-resistant prostate cancer and potentially other tumor types. FG-3246 binds to an epitope of CD46, a cell receptor target, that induces internalization upon antibody binding, is present at high levels in prostate cancer and other tumor types and demonstrates very limited expression in most normal tissues. FG-3246 is comprised of an anti-CD46 antibody, YS5, linked to the anti-mitotic agent, MMAE, which is a clinically and commercially validated ADC payload. FG-3246 has demonstrated anti-tumor activity in both preclinical and clinical studies. FG-3180 is a companion diagnostic PET imaging agent, using the same CD46-targeting antibody together with an 89Zr tracer. To date, FG-3180 demonstrated specific uptake in CD46 positive tumors and is currently being evaluated as a biomarker for its potential to inform patient selection.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Roxadustat</w:t>
      </w:r>
    </w:p>
    <w:p>
      <w:pPr>
        <w:pStyle w:val="TextBody"/>
        <w:bidi w:val="0"/>
        <w:jc w:val="left"/>
        <w:rPr>
          <w:rFonts w:ascii="Times New Roman" w:hAnsi="Times New Roman"/>
          <w:color w:val="000000"/>
          <w:sz w:val="20"/>
        </w:rPr>
      </w:pPr>
      <w:r>
        <w:rPr>
          <w:rFonts w:ascii="Times New Roman" w:hAnsi="Times New Roman"/>
          <w:color w:val="000000"/>
          <w:sz w:val="20"/>
        </w:rPr>
        <w:t>Roxadustat, an oral medication, is the first in a new class of medicines comprising HIF-PH inhibitors that promote erythropoiesis, or red blood cell production, through increased endogenous production of erythropoietin, improved iron absorption and mobilization, and downregulation of hepcidin.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Roxadustat is approved in Europe, Japan, China, and numerous other countries for the treatment of anemia of CKD in adult patients on dialysis (DD) and not on dialysis (NDD). Kyntra Bio has the sole rights to roxadustat in the United States, Canada, Mexico, and in all markets not held by AstraZeneca or licensed to Astellas. Astellas and Kyntra Bio are collaborating on the commercialization of roxadustat for the treatment of anemia in territories including Japan, Europe, Turkey, Russia, and the Commonwealth of Independent States, the Middle East, and South Africa.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Kyntra Bio</w:t>
      </w:r>
      <w:r>
        <w:rPr>
          <w:rFonts w:ascii="Times New Roman" w:hAnsi="Times New Roman"/>
          <w:color w:val="000000"/>
          <w:sz w:val="20"/>
        </w:rPr>
        <w:t xml:space="preserve"> </w:t>
      </w:r>
    </w:p>
    <w:p>
      <w:pPr>
        <w:pStyle w:val="TextBody"/>
        <w:bidi w:val="0"/>
        <w:jc w:val="left"/>
        <w:rPr/>
      </w:pPr>
      <w:r>
        <w:rPr>
          <w:rFonts w:ascii="Times New Roman" w:hAnsi="Times New Roman"/>
          <w:color w:val="000000"/>
          <w:sz w:val="20"/>
        </w:rPr>
        <w:t>Kyntra Bio is a biopharmaceutical company focused on development of novel therapies in oncology and rare disease. Roxadustat (</w:t>
      </w:r>
      <w:r>
        <w:rPr>
          <w:rFonts w:eastAsia="Times New Roman"/>
          <w:color w:val="000000"/>
          <w:sz w:val="20"/>
        </w:rPr>
        <w:t>爱瑞卓</w:t>
      </w:r>
      <w:r>
        <w:rPr>
          <w:rFonts w:ascii="Times New Roman" w:hAnsi="Times New Roman"/>
          <w:color w:val="000000"/>
          <w:sz w:val="20"/>
        </w:rPr>
        <w:t xml:space="preserve">®, EVRENZO) is currently approved in Europe, Japan, China, and numerous other countries for the treatment of anemia in chronic kidney disease (CKD) patients on dialysis and not on dialysis. The Company continues to evaluate the development plan for the Phase 3 trial of roxadustat in anemia associated with lower-risk myelodysplastic syndromes (LR-MDS) in the U.S. FG-3246 (also known as FOR46), a first-in-class antibody-drug conjugate (ADC) targeting CD46, is in Phase 2 development for the treatment of metastatic castration-resistant prostate cancer. This program also includes the development of FG-3180, an associated CD46-targeted PET biomarker. For more information, please visit </w:t>
      </w:r>
      <w:r>
        <w:rPr>
          <w:rFonts w:ascii="Times New Roman" w:hAnsi="Times New Roman"/>
          <w:sz w:val="20"/>
        </w:rPr>
        <w:t>www.kyntrabio.com</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release contains forward-looking statements regarding Kyntra Bio’s strategy, future plans and prospects, including statements regarding its commercial products and clinical programs and those of its partners Fortis and UCSF. These forward-looking statements include, but are not limited to, statements regarding the efficacy, safety, and potential clinical or commercial success of Kyntra Bio products and product candidates, statements under the caption “Recent Highlights and Upcoming Milestones”, statements about regulatory interactions, statements regarding cash, such as the expectation that cash, cash equivalents and accounts receivable will be sufficient to fund Kyntra Bio’s operating plans into 2028, and statements about Kyntra Bio’s plans and objectives. These forward-looking statements are typically identified by use of terms such as “may,” “will”, “should,” “on track,” “could,” “expect,” “plan,” “anticipate,” “believe,” “estimate,” “predict,” “potential,” “continue” and similar words, although some forward-looking statements are expressed differently. Kyntra Bio’s actual results may differ materially from those indicated in these forward-looking statements due to risks and uncertainties related to the continued progress and timing of its various programs, including the enrollment and results from ongoing and potential future clinical trials, and other matters that are described in Kyntra Bio’s most recent Annual Report on Form 10-K and Quarterly Report on Form 10-Q, each as filed with the Securities and Exchange Commission (SEC), including the risk factors set forth therein. Investors are cautioned not to place undue reliance on these forward-looking statements, which speak only as of the date of this release, and Kyntra Bio undertakes no obligation to update any forward-looking statement in this press release, except as required by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059" w:type="dxa"/>
        <w:jc w:val="left"/>
        <w:tblInd w:w="0" w:type="dxa"/>
        <w:tblLayout w:type="fixed"/>
        <w:tblCellMar>
          <w:top w:w="28" w:type="dxa"/>
          <w:left w:w="28" w:type="dxa"/>
          <w:bottom w:w="28" w:type="dxa"/>
          <w:right w:w="28" w:type="dxa"/>
        </w:tblCellMar>
      </w:tblPr>
      <w:tblGrid>
        <w:gridCol w:w="5551"/>
        <w:gridCol w:w="239"/>
        <w:gridCol w:w="886"/>
        <w:gridCol w:w="246"/>
        <w:gridCol w:w="246"/>
        <w:gridCol w:w="319"/>
        <w:gridCol w:w="1181"/>
        <w:gridCol w:w="391"/>
      </w:tblGrid>
      <w:tr>
        <w:trPr/>
        <w:tc>
          <w:tcPr>
            <w:tcW w:w="55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96,825</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stockholders’ equity and non-controlling interests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and other liabilities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36,040</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 obligations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deficit attributable to Kyntra Bio</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Nonredeemable non-controlling interests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deficit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non-controlling interests and deficit</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balance sheet amounts at December 31, 2025 are derived from audited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left"/>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7"/>
        <w:gridCol w:w="215"/>
        <w:gridCol w:w="754"/>
        <w:gridCol w:w="169"/>
        <w:gridCol w:w="148"/>
        <w:gridCol w:w="215"/>
        <w:gridCol w:w="754"/>
        <w:gridCol w:w="166"/>
        <w:gridCol w:w="146"/>
        <w:gridCol w:w="211"/>
        <w:gridCol w:w="736"/>
        <w:gridCol w:w="166"/>
        <w:gridCol w:w="146"/>
        <w:gridCol w:w="211"/>
        <w:gridCol w:w="736"/>
        <w:gridCol w:w="415"/>
      </w:tblGrid>
      <w:tr>
        <w:trPr/>
        <w:tc>
          <w:tcPr>
            <w:tcW w:w="50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and other revenue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Drug product revenue, net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goods sold</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charge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costs and expenses</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deconsolidation of subsidiary</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other, net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continuing operations before income taxes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from income taxes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continuing operations</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continuing operations per share - basic </w:t>
              <w:br/>
              <w:t>    and diluted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discontinued operations per share - basic </w:t>
              <w:br/>
              <w:t>    and diluted</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 and diluted</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common shares used to </w:t>
              <w:br/>
              <w:t>    calculate net income (loss) per share - basic and diluted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Investor Inquiries: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DeLucia, CFA</w:t>
      </w:r>
    </w:p>
    <w:p>
      <w:pPr>
        <w:pStyle w:val="TextBody"/>
        <w:bidi w:val="0"/>
        <w:jc w:val="left"/>
        <w:rPr>
          <w:rFonts w:ascii="Times New Roman" w:hAnsi="Times New Roman"/>
          <w:color w:val="000000"/>
          <w:sz w:val="20"/>
        </w:rPr>
      </w:pPr>
      <w:r>
        <w:rPr>
          <w:rFonts w:ascii="Times New Roman" w:hAnsi="Times New Roman"/>
          <w:color w:val="000000"/>
          <w:sz w:val="20"/>
        </w:rPr>
        <w:t>Senior Vice President and Chief Financial Officer</w:t>
      </w:r>
    </w:p>
    <w:p>
      <w:pPr>
        <w:pStyle w:val="TextBody"/>
        <w:bidi w:val="0"/>
        <w:jc w:val="left"/>
        <w:rPr>
          <w:rFonts w:ascii="Times New Roman" w:hAnsi="Times New Roman"/>
          <w:sz w:val="20"/>
        </w:rPr>
      </w:pPr>
      <w:r>
        <w:rPr>
          <w:rFonts w:ascii="Times New Roman" w:hAnsi="Times New Roman"/>
          <w:sz w:val="20"/>
        </w:rPr>
        <w:t>ir@kyntrabio.com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2361</Words>
  <Characters>13086</Characters>
  <CharactersWithSpaces>15605</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